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1B3571" w:rsidRDefault="00000000">
      <w:pPr>
        <w:pStyle w:val="Heading1"/>
      </w:pPr>
      <w:bookmarkStart w:id="0" w:name="Xdc0ccff3467eb93cdcb1941af1d84bd9d6dd0c4"/>
      <w:r>
        <w:t xml:space="preserve">Quantifying Multi-Signal Quorum Sensing: The </w:t>
      </w:r>
      <w:r>
        <w:rPr>
          <w:i/>
          <w:iCs/>
        </w:rPr>
        <w:t>las</w:t>
      </w:r>
      <w:r>
        <w:t xml:space="preserve"> and </w:t>
      </w:r>
      <w:r>
        <w:rPr>
          <w:i/>
          <w:iCs/>
        </w:rPr>
        <w:t>rhl</w:t>
      </w:r>
      <w:r>
        <w:t xml:space="preserve"> Systems in </w:t>
      </w:r>
      <w:r>
        <w:rPr>
          <w:i/>
          <w:iCs/>
        </w:rPr>
        <w:t>Pseudomonas aeruginosa</w:t>
      </w:r>
      <w:r>
        <w:t xml:space="preserve"> Form a Biased Reciprocal Network That Can Tune Responses to Physical and Social Environments</w:t>
      </w:r>
    </w:p>
    <w:p w:rsidR="001B3571"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rsidR="001B3571" w:rsidRDefault="00000000">
      <w:pPr>
        <w:pStyle w:val="Compact"/>
        <w:numPr>
          <w:ilvl w:val="0"/>
          <w:numId w:val="3"/>
        </w:numPr>
      </w:pPr>
      <w:r>
        <w:t>School of Biological Sciences, Georgia Institute of Technology, Atlanta, GA USA 30332.</w:t>
      </w:r>
    </w:p>
    <w:p w:rsidR="001B3571" w:rsidRDefault="00000000">
      <w:pPr>
        <w:pStyle w:val="Compact"/>
        <w:numPr>
          <w:ilvl w:val="0"/>
          <w:numId w:val="3"/>
        </w:numPr>
      </w:pPr>
      <w:r>
        <w:t>Department of Microbiology, Faculty of Agriculture, Cairo University, Giza 12613, Egypt.</w:t>
      </w:r>
    </w:p>
    <w:p w:rsidR="001B3571" w:rsidRDefault="00000000">
      <w:pPr>
        <w:pStyle w:val="Compact"/>
        <w:numPr>
          <w:ilvl w:val="0"/>
          <w:numId w:val="3"/>
        </w:numPr>
      </w:pPr>
      <w:r>
        <w:t>Department of Biology, College of Arts and Sciences, Georgia State University, Atlanta, GA USA 30303.</w:t>
      </w:r>
    </w:p>
    <w:p w:rsidR="001B3571" w:rsidRDefault="00000000">
      <w:pPr>
        <w:pStyle w:val="Compact"/>
        <w:numPr>
          <w:ilvl w:val="0"/>
          <w:numId w:val="3"/>
        </w:numPr>
      </w:pPr>
      <w:r>
        <w:t>Present address: Sandia National Laboratories, Albuquerque, NM, USA.</w:t>
      </w:r>
    </w:p>
    <w:p w:rsidR="001B3571"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have been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responds to changes in bacterial stationary phase density, and find close quantitative agreement with an independent dataset. Finally, we use our parameterized model to 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rsidR="001B3571" w:rsidRDefault="00000000">
      <w:pPr>
        <w:pStyle w:val="Heading2"/>
      </w:pPr>
      <w:bookmarkStart w:id="1" w:name="introduction"/>
      <w:r>
        <w:t>Introduction</w:t>
      </w:r>
    </w:p>
    <w:p w:rsidR="001B3571" w:rsidRDefault="00000000">
      <w:pPr>
        <w:pStyle w:val="FirstParagraph"/>
      </w:pPr>
      <w:r>
        <w:t xml:space="preserve">WIthin many bacterial species, cells communicate with each other by exchanging diffusible signal molecules (Papenfort and Bassler 2016; Whiteley, Diggle, and Greenberg 2017).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(Pearson, Pesci, and Iglewski 1997). We have identified downstream effector genes such as virulence factors whose production depends on QS signals (Chugani et al. 2001; Kiratisin, </w:t>
      </w:r>
      <w:r>
        <w:lastRenderedPageBreak/>
        <w:t>Tucker, and Passador 2002), and we have recognized that many species possess multiple QS circuits (Papenfort and Bassler 2016). Despite this knowledge, we face gaps in our understanding of how quorum sensing influences bacterial behavior. How does QS quantitatively 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1B3571" w:rsidRDefault="00000000">
      <w:pPr>
        <w:pStyle w:val="BodyText"/>
      </w:pPr>
      <w:r>
        <w:t xml:space="preserve">Quorum sensing relies on several components interacting in a dynamical system (Popat et al. 2015; Pérez-Velázquez and Hense 2018). Individual cells synthesize small molecules called signals or inducers. These diffuse or are actively transported between the intracellular and extracellular environments (Pearson, Van Delden, and Iglewski 1999). Within cells, signal molecules bind to receptor proteins that serve as transcription factors (Bottomley et al. 2007). As signal concentration grows, genes activated by these transcription factors trigger a change in the cell's behavior (Whiteley, Lee, and Greenberg 1999).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(Pesci et al. 1997; Lee and Zhang 2015).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(2007) estimate that these two systems control expression of as much as 10% of the bacterial genome.</w:t>
      </w:r>
    </w:p>
    <w:p w:rsidR="001B3571"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1B3571" w:rsidRDefault="00000000">
      <w:pPr>
        <w:pStyle w:val="CaptionedFigure"/>
      </w:pPr>
      <w:bookmarkStart w:id="2" w:name="fig:architectures"/>
      <w:r>
        <w:rPr>
          <w:noProof/>
        </w:rPr>
        <w:lastRenderedPageBreak/>
        <w:drawing>
          <wp:inline distT="0" distB="0" distL="0" distR="0">
            <wp:extent cx="5238750" cy="4286250"/>
            <wp:effectExtent l="0" t="0" r="0" b="0"/>
            <wp:docPr id="21" name="Picture" descr="Figure 1: architectures"/>
            <wp:cNvGraphicFramePr/>
            <a:graphic xmlns:a="http://schemas.openxmlformats.org/drawingml/2006/main">
              <a:graphicData uri="http://schemas.openxmlformats.org/drawingml/2006/picture">
                <pic:pic xmlns:pic="http://schemas.openxmlformats.org/drawingml/2006/picture">
                  <pic:nvPicPr>
                    <pic:cNvPr id="22" name="Picture" descr="Figures/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4286250"/>
                    </a:xfrm>
                    <a:prstGeom prst="rect">
                      <a:avLst/>
                    </a:prstGeom>
                    <a:noFill/>
                    <a:ln w="9525">
                      <a:noFill/>
                      <a:headEnd/>
                      <a:tailEnd/>
                    </a:ln>
                  </pic:spPr>
                </pic:pic>
              </a:graphicData>
            </a:graphic>
          </wp:inline>
        </w:drawing>
      </w:r>
    </w:p>
    <w:bookmarkEnd w:id="2"/>
    <w:p w:rsidR="001B3571" w:rsidRDefault="00000000">
      <w:pPr>
        <w:pStyle w:val="ImageCaption"/>
      </w:pPr>
      <w:r>
        <w:rPr>
          <w:b/>
          <w:bCs/>
        </w:rPr>
        <w:t>Figure 1. The relationship between quorum sensing systems may be  classified as independent, hierarchical, or reciprocal.</w:t>
      </w:r>
      <w:r>
        <w:t xml:space="preserve"> (A) Independent: the signal of each has no influence on the expression of synthase or receptor in the other. (B) Hierarchical: one system’s signal influences expression of the other’s components, but without reciprocation. (C) Reciprocal: both systems’ signals influence the others’ components.</w:t>
      </w:r>
    </w:p>
    <w:p w:rsidR="001B3571"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(1996)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master QS system controlling both its own activation and that of the </w:t>
      </w:r>
      <w:r>
        <w:rPr>
          <w:i/>
          <w:iCs/>
        </w:rPr>
        <w:t>rhl</w:t>
      </w:r>
      <w:r>
        <w:t xml:space="preserve"> system (Figure 2). We confirm this consensus view via a structured literature review (Tables S.1 and S.2).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1B3571" w:rsidRDefault="00000000">
      <w:pPr>
        <w:pStyle w:val="CaptionedFigure"/>
      </w:pPr>
      <w:bookmarkStart w:id="3" w:name="fig:hierarchy"/>
      <w:r>
        <w:rPr>
          <w:noProof/>
        </w:rPr>
        <w:lastRenderedPageBreak/>
        <w:drawing>
          <wp:inline distT="0" distB="0" distL="0" distR="0">
            <wp:extent cx="5238750" cy="4286250"/>
            <wp:effectExtent l="0" t="0" r="0" b="0"/>
            <wp:docPr id="26" name="Picture" descr="Figure 2: hierarchy"/>
            <wp:cNvGraphicFramePr/>
            <a:graphic xmlns:a="http://schemas.openxmlformats.org/drawingml/2006/main">
              <a:graphicData uri="http://schemas.openxmlformats.org/drawingml/2006/picture">
                <pic:pic xmlns:pic="http://schemas.openxmlformats.org/drawingml/2006/picture">
                  <pic:nvPicPr>
                    <pic:cNvPr id="27" name="Picture" descr="Figures/hierarchy.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4286250"/>
                    </a:xfrm>
                    <a:prstGeom prst="rect">
                      <a:avLst/>
                    </a:prstGeom>
                    <a:noFill/>
                    <a:ln w="9525">
                      <a:noFill/>
                      <a:headEnd/>
                      <a:tailEnd/>
                    </a:ln>
                  </pic:spPr>
                </pic:pic>
              </a:graphicData>
            </a:graphic>
          </wp:inline>
        </w:drawing>
      </w:r>
    </w:p>
    <w:bookmarkEnd w:id="3"/>
    <w:p w:rsidR="001B3571" w:rsidRDefault="00000000">
      <w:pPr>
        <w:pStyle w:val="Caption"/>
      </w:pPr>
      <w:r>
        <w:rPr>
          <w:b/>
          <w:bCs/>
        </w:rPr>
        <w:t xml:space="preserve">Figure 2. The </w:t>
      </w:r>
      <w:r>
        <w:rPr>
          <w:b/>
          <w:bCs/>
          <w:iCs/>
        </w:rPr>
        <w:t>P. aeruginosa</w:t>
      </w:r>
      <w:r>
        <w:rPr>
          <w:b/>
          <w:bCs/>
        </w:rPr>
        <w:t xml:space="preserve"> QS regulatory network is typically viewed as a hierarchy, with the </w:t>
      </w:r>
      <w:r>
        <w:rPr>
          <w:b/>
          <w:bCs/>
          <w:iCs/>
        </w:rPr>
        <w:t>las</w:t>
      </w:r>
      <w:r>
        <w:rPr>
          <w:b/>
          <w:bCs/>
        </w:rPr>
        <w:t xml:space="preserve"> system on top.</w:t>
      </w:r>
      <w:r>
        <w:t xml:space="preserve"> Solid arrows summarize the relationships depicted in 17 review papers published since 1996 (Tables SI.1 and SI.2). All papers show the </w:t>
      </w:r>
      <w:r>
        <w:rPr>
          <w:iCs/>
        </w:rPr>
        <w:t>las</w:t>
      </w:r>
      <w:r>
        <w:t xml:space="preserve"> system affecting the </w:t>
      </w:r>
      <w:r>
        <w:rPr>
          <w:iCs/>
        </w:rPr>
        <w:t>rhl</w:t>
      </w:r>
      <w:r>
        <w:t xml:space="preserve"> system, but none identify a </w:t>
      </w:r>
      <w:r>
        <w:rPr>
          <w:iCs/>
        </w:rPr>
        <w:t>las</w:t>
      </w:r>
      <w:r>
        <w:t xml:space="preserve"> synthase or receptor gene as a target of the </w:t>
      </w:r>
      <w:r>
        <w:rPr>
          <w:iCs/>
        </w:rPr>
        <w:t>rhl</w:t>
      </w:r>
      <w:r>
        <w:t xml:space="preserve"> system (dashed line).</w:t>
      </w:r>
    </w:p>
    <w:p w:rsidR="001B3571" w:rsidRDefault="00000000">
      <w:pPr>
        <w:pStyle w:val="BodyText"/>
      </w:pPr>
      <w:r>
        <w:t xml:space="preserve">Our experiments explicitly examine the influence of both QS systems on each other, and the resulting data reveal three key results.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quantitative predictions on how QS-controlled behaviors change with changing physical and social conditions. Specifically, we show that, compared to a strict hiearchy, the reciprocity we observe provides more sensitivity to population density and more robustness to interfering physical environmental variation.</w:t>
      </w:r>
    </w:p>
    <w:p w:rsidR="001B3571" w:rsidRDefault="00000000">
      <w:pPr>
        <w:pStyle w:val="Heading2"/>
      </w:pPr>
      <w:bookmarkStart w:id="4" w:name="results"/>
      <w:bookmarkEnd w:id="1"/>
      <w:r>
        <w:t>Results</w:t>
      </w:r>
    </w:p>
    <w:p w:rsidR="001B3571"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xml:space="preserve">) exposed to defined, exogenous </w:t>
      </w:r>
      <w:r>
        <w:lastRenderedPageBreak/>
        <w:t>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1B3571" w:rsidRDefault="00000000">
      <w:pPr>
        <w:pStyle w:val="Heading3"/>
      </w:pPr>
      <w:bookmarkStart w:id="5" w:name="X07d8eef75b20be03a4367928cbb9124014b7bcf"/>
      <w:r>
        <w:t xml:space="preserve">The </w:t>
      </w:r>
      <w:r>
        <w:rPr>
          <w:i/>
          <w:iCs/>
        </w:rPr>
        <w:t>las</w:t>
      </w:r>
      <w:r>
        <w:t xml:space="preserve"> and </w:t>
      </w:r>
      <w:r>
        <w:rPr>
          <w:i/>
          <w:iCs/>
        </w:rPr>
        <w:t>rhl</w:t>
      </w:r>
      <w:r>
        <w:t xml:space="preserve"> Systems Influence Each Other</w:t>
      </w:r>
    </w:p>
    <w:p w:rsidR="001B3571"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3 shows the results for 3‑oxo‑C</w:t>
      </w:r>
      <w:r>
        <w:rPr>
          <w:vertAlign w:val="subscript"/>
        </w:rPr>
        <w:t>12</w:t>
      </w:r>
      <w:r>
        <w:t xml:space="preserve">‑HSL. As expected, expression of both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1B3571" w:rsidRDefault="00000000">
      <w:pPr>
        <w:pStyle w:val="CaptionedFigure"/>
      </w:pPr>
      <w:bookmarkStart w:id="6" w:name="fig:single_c12"/>
      <w:r>
        <w:rPr>
          <w:noProof/>
        </w:rPr>
        <w:drawing>
          <wp:inline distT="0" distB="0" distL="0" distR="0">
            <wp:extent cx="5657850" cy="2571750"/>
            <wp:effectExtent l="0" t="0" r="0" b="0"/>
            <wp:docPr id="32" name="Picture" descr="Figure 3: single_c12"/>
            <wp:cNvGraphicFramePr/>
            <a:graphic xmlns:a="http://schemas.openxmlformats.org/drawingml/2006/main">
              <a:graphicData uri="http://schemas.openxmlformats.org/drawingml/2006/picture">
                <pic:pic xmlns:pic="http://schemas.openxmlformats.org/drawingml/2006/picture">
                  <pic:nvPicPr>
                    <pic:cNvPr id="33" name="Picture" descr="Figures/single_c12.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657850" cy="2571750"/>
                    </a:xfrm>
                    <a:prstGeom prst="rect">
                      <a:avLst/>
                    </a:prstGeom>
                    <a:noFill/>
                    <a:ln w="9525">
                      <a:noFill/>
                      <a:headEnd/>
                      <a:tailEnd/>
                    </a:ln>
                  </pic:spPr>
                </pic:pic>
              </a:graphicData>
            </a:graphic>
          </wp:inline>
        </w:drawing>
      </w:r>
    </w:p>
    <w:bookmarkEnd w:id="6"/>
    <w:p w:rsidR="001B3571" w:rsidRDefault="00000000">
      <w:pPr>
        <w:pStyle w:val="Caption"/>
      </w:pPr>
      <w:r>
        <w:rPr>
          <w:b/>
          <w:bCs/>
        </w:rPr>
        <w:t xml:space="preserve">Figure 3. The </w:t>
      </w:r>
      <w:r>
        <w:rPr>
          <w:b/>
          <w:bCs/>
          <w:iCs/>
        </w:rPr>
        <w:t>las</w:t>
      </w:r>
      <w:r>
        <w:rPr>
          <w:b/>
          <w:bCs/>
        </w:rPr>
        <w:t xml:space="preserve"> signal 3‑oxo‑C</w:t>
      </w:r>
      <w:r>
        <w:rPr>
          <w:b/>
          <w:bCs/>
          <w:vertAlign w:val="subscript"/>
        </w:rPr>
        <w:t>12</w:t>
      </w:r>
      <w:r>
        <w:rPr>
          <w:b/>
          <w:bCs/>
        </w:rPr>
        <w:t xml:space="preserve">‑HSL increases the expression of </w:t>
      </w:r>
      <w:r>
        <w:rPr>
          <w:b/>
          <w:bCs/>
          <w:iCs/>
        </w:rPr>
        <w:t>lasI</w:t>
      </w:r>
      <w:r>
        <w:rPr>
          <w:b/>
          <w:bCs/>
        </w:rPr>
        <w:t xml:space="preserve"> and </w:t>
      </w:r>
      <w:r>
        <w:rPr>
          <w:b/>
          <w:bCs/>
          <w:iCs/>
        </w:rPr>
        <w:t>rhlI</w:t>
      </w:r>
      <w:r>
        <w:rPr>
          <w:b/>
          <w:bCs/>
        </w:rPr>
        <w:t xml:space="preserve"> in a signal null PAO1.</w:t>
      </w:r>
      <w:r>
        <w:t xml:space="preserve"> Plots show fold-change in RLU/OD (relative light units per optical density) values compared to baseline with no exogenous signals in NPAO1∆</w:t>
      </w:r>
      <w:r>
        <w:rPr>
          <w:iCs/>
        </w:rPr>
        <w:t>lasI</w:t>
      </w:r>
      <w:r>
        <w:t>∆</w:t>
      </w:r>
      <w:r>
        <w:rPr>
          <w:iCs/>
        </w:rPr>
        <w:t>rhlI</w:t>
      </w:r>
      <w:r>
        <w:t xml:space="preserve"> cultures. Genomic reporter fusions </w:t>
      </w:r>
      <w:r>
        <w:rPr>
          <w:iCs/>
        </w:rPr>
        <w:t>lasI:luxCDABE,</w:t>
      </w:r>
      <w:r>
        <w:t xml:space="preserve"> </w:t>
      </w:r>
      <w:r>
        <w:rPr>
          <w:iCs/>
        </w:rPr>
        <w:t>rhlI:luxCDABE,</w:t>
      </w:r>
      <w:r>
        <w:t xml:space="preserve"> and </w:t>
      </w:r>
      <w:r>
        <w:rPr>
          <w:iCs/>
        </w:rPr>
        <w:t>lasB:luxCDABE</w:t>
      </w:r>
      <w:r>
        <w:t xml:space="preserve"> were used to generate luminescence. Points are individual observations within the time window of peak expression; dashed lines show a locally weighted regression of the mean fold-change for each concentration value. Figures S.1 and S.2 show the underlying expression data for the entire time course of the experiments.</w:t>
      </w:r>
    </w:p>
    <w:p w:rsidR="001B3571"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4 shows those results: expression of </w:t>
      </w:r>
      <w:r>
        <w:rPr>
          <w:i/>
          <w:iCs/>
        </w:rPr>
        <w:t>las</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4A)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1B3571" w:rsidRDefault="00000000">
      <w:pPr>
        <w:pStyle w:val="CaptionedFigure"/>
      </w:pPr>
      <w:bookmarkStart w:id="7" w:name="fig:single_c4"/>
      <w:r>
        <w:rPr>
          <w:noProof/>
        </w:rPr>
        <w:lastRenderedPageBreak/>
        <w:drawing>
          <wp:inline distT="0" distB="0" distL="0" distR="0">
            <wp:extent cx="5657850" cy="2571750"/>
            <wp:effectExtent l="0" t="0" r="0" b="0"/>
            <wp:docPr id="37" name="Picture" descr="Figure 4: single_c4"/>
            <wp:cNvGraphicFramePr/>
            <a:graphic xmlns:a="http://schemas.openxmlformats.org/drawingml/2006/main">
              <a:graphicData uri="http://schemas.openxmlformats.org/drawingml/2006/picture">
                <pic:pic xmlns:pic="http://schemas.openxmlformats.org/drawingml/2006/picture">
                  <pic:nvPicPr>
                    <pic:cNvPr id="38" name="Picture" descr="Figures/single_c4.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657850" cy="2571750"/>
                    </a:xfrm>
                    <a:prstGeom prst="rect">
                      <a:avLst/>
                    </a:prstGeom>
                    <a:noFill/>
                    <a:ln w="9525">
                      <a:noFill/>
                      <a:headEnd/>
                      <a:tailEnd/>
                    </a:ln>
                  </pic:spPr>
                </pic:pic>
              </a:graphicData>
            </a:graphic>
          </wp:inline>
        </w:drawing>
      </w:r>
    </w:p>
    <w:bookmarkEnd w:id="7"/>
    <w:p w:rsidR="001B3571" w:rsidRDefault="00000000">
      <w:pPr>
        <w:pStyle w:val="Caption"/>
      </w:pPr>
      <w:r>
        <w:rPr>
          <w:b/>
          <w:bCs/>
        </w:rPr>
        <w:t xml:space="preserve">Figure 4. The </w:t>
      </w:r>
      <w:r>
        <w:rPr>
          <w:b/>
          <w:bCs/>
          <w:iCs/>
        </w:rPr>
        <w:t>rhl</w:t>
      </w:r>
      <w:r>
        <w:rPr>
          <w:b/>
          <w:bCs/>
        </w:rPr>
        <w:t xml:space="preserve"> signal C</w:t>
      </w:r>
      <w:r>
        <w:rPr>
          <w:b/>
          <w:bCs/>
          <w:vertAlign w:val="subscript"/>
        </w:rPr>
        <w:t>4</w:t>
      </w:r>
      <w:r>
        <w:rPr>
          <w:b/>
          <w:bCs/>
        </w:rPr>
        <w:t xml:space="preserve">‑HSL increases the expression of </w:t>
      </w:r>
      <w:r>
        <w:rPr>
          <w:b/>
          <w:bCs/>
          <w:iCs/>
        </w:rPr>
        <w:t>lasI</w:t>
      </w:r>
      <w:r>
        <w:rPr>
          <w:b/>
          <w:bCs/>
        </w:rPr>
        <w:t xml:space="preserve"> and </w:t>
      </w:r>
      <w:r>
        <w:rPr>
          <w:b/>
          <w:bCs/>
          <w:iCs/>
        </w:rPr>
        <w:t>rhlI</w:t>
      </w:r>
      <w:r>
        <w:rPr>
          <w:b/>
          <w:bCs/>
        </w:rPr>
        <w:t xml:space="preserve"> in a signal null PAO1.</w:t>
      </w:r>
      <w:r>
        <w:t xml:space="preserve"> Expression of both genes grows with increased concentration of C</w:t>
      </w:r>
      <w:r>
        <w:rPr>
          <w:vertAlign w:val="subscript"/>
        </w:rPr>
        <w:t>4</w:t>
      </w:r>
      <w:r>
        <w:t xml:space="preserve">‑HSL. Plots are constructed as in Figure 3. Strains and reporters also as in Figure 3. Note that panel A shows results are not captured by the consensus </w:t>
      </w:r>
      <w:r>
        <w:rPr>
          <w:iCs/>
        </w:rPr>
        <w:t>las→rhl</w:t>
      </w:r>
      <w:r>
        <w:t xml:space="preserve"> hierarchy, as it clearly indicates that </w:t>
      </w:r>
      <w:r>
        <w:rPr>
          <w:iCs/>
        </w:rPr>
        <w:t>lasI,</w:t>
      </w:r>
      <w:r>
        <w:t xml:space="preserve"> in the </w:t>
      </w:r>
      <w:r>
        <w:rPr>
          <w:iCs/>
        </w:rPr>
        <w:t>las</w:t>
      </w:r>
      <w:r>
        <w:t xml:space="preserve"> system, responds to the signal produced by the </w:t>
      </w:r>
      <w:r>
        <w:rPr>
          <w:iCs/>
        </w:rPr>
        <w:t>rhl</w:t>
      </w:r>
      <w:r>
        <w:t xml:space="preserve"> system. As above, Figures S.1 and S.2 show the underlying expression data for the entire time course of the experiments.</w:t>
      </w:r>
    </w:p>
    <w:p w:rsidR="001B3571" w:rsidRDefault="00000000">
      <w:pPr>
        <w:pStyle w:val="BodyText"/>
      </w:pPr>
      <w:r>
        <w:t>To quantify the impact of each signal alone, we model gene expression using Michaelis-Menten kinetics under quasi-steady state assumptions. The resulting dynamics provide a simple model of transcription factor binding (Santillán 2008; Bolouri 2008, chap. 9) as well as more general processes such as enzyme activity and substrate-receptor binding.</w:t>
      </w:r>
    </w:p>
    <w:p w:rsidR="001B3571" w:rsidRDefault="00000000">
      <w:pPr>
        <w:pStyle w:val="BodyText"/>
      </w:pPr>
      <w:r>
        <w:t xml:space="preserve">For a single signal, gene expression is defined by Equation 1, where </w:t>
      </w:r>
      <w:r>
        <w:rPr>
          <w:i/>
          <w:iCs/>
        </w:rPr>
        <w:t>ɑ</w:t>
      </w:r>
      <w:r>
        <w:rPr>
          <w:i/>
          <w:iCs/>
          <w:vertAlign w:val="subscript"/>
        </w:rPr>
        <w:t>0</w:t>
      </w:r>
      <w:r>
        <w:t xml:space="preserve"> is basal expression, </w:t>
      </w:r>
      <w:r>
        <w:rPr>
          <w:i/>
          <w:iCs/>
        </w:rPr>
        <w:t>ɑ</w:t>
      </w:r>
      <w:r>
        <w:t xml:space="preserve"> is the maximum increase in expression from auto-induction, [</w:t>
      </w:r>
      <w:r>
        <w:rPr>
          <w:i/>
          <w:iCs/>
        </w:rPr>
        <w:t>S</w:t>
      </w:r>
      <w:r>
        <w:t xml:space="preserve"> ] is the signal concentration, and </w:t>
      </w:r>
      <w:r>
        <w:rPr>
          <w:i/>
          <w:iCs/>
        </w:rPr>
        <w:t>K</w:t>
      </w:r>
      <w:r>
        <w:t xml:space="preserve"> is the disassociation constant of the binding event or, equivalently, the signal concentration corresponding to half of the maximum expression gain. With this model we quantify two qualities: how strongly a signal can increase gene expression above its basal level (</w:t>
      </w:r>
      <w:r>
        <w:rPr>
          <w:i/>
          <w:iCs/>
        </w:rPr>
        <w:t>ɑ</w:t>
      </w:r>
      <w:r>
        <w:t>), and how sensitive gene expression is to the presence of the signal (</w:t>
      </w:r>
      <w:r>
        <w:rPr>
          <w:i/>
          <w:iCs/>
        </w:rPr>
        <w:t>K</w:t>
      </w:r>
      <w:r>
        <w:t>).</w:t>
      </w:r>
    </w:p>
    <w:p w:rsidR="001B3571" w:rsidRDefault="007D5816">
      <w:pPr>
        <w:pStyle w:val="FirstParagraph"/>
      </w:pPr>
      <w:r>
        <w:rPr>
          <w:noProof/>
        </w:rPr>
        <w:drawing>
          <wp:inline distT="0" distB="0" distL="0" distR="0">
            <wp:extent cx="5486400" cy="2016807"/>
            <wp:effectExtent l="0" t="0" r="0" b="0"/>
            <wp:docPr id="12371205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20534" name="Graphic 1237120534"/>
                    <pic:cNvPicPr/>
                  </pic:nvPicPr>
                  <pic:blipFill>
                    <a:blip r:embed="rId13">
                      <a:extLst>
                        <a:ext uri="{96DAC541-7B7A-43D3-8B79-37D633B846F1}">
                          <asvg:svgBlip xmlns:asvg="http://schemas.microsoft.com/office/drawing/2016/SVG/main" r:embed="rId14"/>
                        </a:ext>
                      </a:extLst>
                    </a:blip>
                    <a:stretch>
                      <a:fillRect/>
                    </a:stretch>
                  </pic:blipFill>
                  <pic:spPr>
                    <a:xfrm>
                      <a:off x="0" y="0"/>
                      <a:ext cx="5486400" cy="2016807"/>
                    </a:xfrm>
                    <a:prstGeom prst="rect">
                      <a:avLst/>
                    </a:prstGeom>
                  </pic:spPr>
                </pic:pic>
              </a:graphicData>
            </a:graphic>
          </wp:inline>
        </w:drawing>
      </w:r>
    </w:p>
    <w:p w:rsidR="001B3571" w:rsidRDefault="00000000">
      <w:pPr>
        <w:pStyle w:val="BodyText"/>
      </w:pPr>
      <w:r>
        <w:lastRenderedPageBreak/>
        <w:t xml:space="preserve">By minimizing the sum of squared error (with non-linear regression using the Gauss-Newton algorithm), we estimate model parameters from our data, using only those observations in which a single signal is present. TableS.3 details the results. Our model fits illustrate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rsidR="001B3571" w:rsidRDefault="00000000">
      <w:pPr>
        <w:pStyle w:val="Heading3"/>
      </w:pPr>
      <w:bookmarkStart w:id="8" w:name="Xf2b78a5975f7435e62f97939c4950da88a58c5c"/>
      <w:bookmarkEnd w:id="5"/>
      <w:r>
        <w:rPr>
          <w:i/>
          <w:iCs/>
        </w:rPr>
        <w:t>las</w:t>
      </w:r>
      <w:r>
        <w:t xml:space="preserve"> and </w:t>
      </w:r>
      <w:r>
        <w:rPr>
          <w:i/>
          <w:iCs/>
        </w:rPr>
        <w:t>rhl</w:t>
      </w:r>
      <w:r>
        <w:t xml:space="preserve"> Combine Non-Linearly and Synergistically</w:t>
      </w:r>
    </w:p>
    <w:p w:rsidR="001B3571" w:rsidRDefault="00000000">
      <w:pPr>
        <w:pStyle w:val="FirstParagraph"/>
      </w:pPr>
      <w:r>
        <w:t>Figures 3 and 4 consider the effects of each signal in isolation, but wildtype cells with functioning synthase genes can produce both signals. To understand environments where both signals are present, we use controlled concentrations of both signals in combination. Figure 5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1B3571" w:rsidRDefault="00000000">
      <w:pPr>
        <w:pStyle w:val="CaptionedFigure"/>
      </w:pPr>
      <w:bookmarkStart w:id="9" w:name="fig:combined"/>
      <w:r>
        <w:rPr>
          <w:noProof/>
        </w:rPr>
        <w:drawing>
          <wp:inline distT="0" distB="0" distL="0" distR="0">
            <wp:extent cx="5657850" cy="2571750"/>
            <wp:effectExtent l="0" t="0" r="0" b="0"/>
            <wp:docPr id="44" name="Picture" descr="Figure 5: combined"/>
            <wp:cNvGraphicFramePr/>
            <a:graphic xmlns:a="http://schemas.openxmlformats.org/drawingml/2006/main">
              <a:graphicData uri="http://schemas.openxmlformats.org/drawingml/2006/picture">
                <pic:pic xmlns:pic="http://schemas.openxmlformats.org/drawingml/2006/picture">
                  <pic:nvPicPr>
                    <pic:cNvPr id="45" name="Picture" descr="Figures/combined.svg"/>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657850" cy="2571750"/>
                    </a:xfrm>
                    <a:prstGeom prst="rect">
                      <a:avLst/>
                    </a:prstGeom>
                    <a:noFill/>
                    <a:ln w="9525">
                      <a:noFill/>
                      <a:headEnd/>
                      <a:tailEnd/>
                    </a:ln>
                  </pic:spPr>
                </pic:pic>
              </a:graphicData>
            </a:graphic>
          </wp:inline>
        </w:drawing>
      </w:r>
    </w:p>
    <w:bookmarkEnd w:id="9"/>
    <w:p w:rsidR="001B3571" w:rsidRDefault="00000000">
      <w:pPr>
        <w:pStyle w:val="Caption"/>
      </w:pPr>
      <w:r>
        <w:rPr>
          <w:b/>
          <w:bCs/>
        </w:rPr>
        <w:t xml:space="preserve">Figure 5. Expression of </w:t>
      </w:r>
      <w:r>
        <w:rPr>
          <w:b/>
          <w:bCs/>
          <w:iCs/>
        </w:rPr>
        <w:t>lasI</w:t>
      </w:r>
      <w:r>
        <w:rPr>
          <w:b/>
          <w:bCs/>
        </w:rPr>
        <w:t xml:space="preserve"> and </w:t>
      </w:r>
      <w:r>
        <w:rPr>
          <w:b/>
          <w:bCs/>
          <w:iCs/>
        </w:rPr>
        <w:t>rhlI</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Expression of both genes grows with increased concentration of either signal when both signals are combined. Heatmaps show fold-change in RLU/OD values compared to baseline with no exogenous signals. All underlying expression data through time is shown in Figures S.1 and S.2.</w:t>
      </w:r>
    </w:p>
    <w:p w:rsidR="001B3571" w:rsidRDefault="00000000">
      <w:pPr>
        <w:pStyle w:val="BodyText"/>
      </w:pPr>
      <w:r>
        <w:t>Having established a simple model for each signal in isolation, we next consider whether that model is sufficient to explain the effect of the signals in combination. Can we estimate total expression as the sum of expression induced by each signal alone? Such a response could result from two independent binding sites in the promoter regions (Buchler, Gerland, and Hwa 2003), one site for LasR/3‑oxo‑C</w:t>
      </w:r>
      <w:r>
        <w:rPr>
          <w:vertAlign w:val="subscript"/>
        </w:rPr>
        <w:t>12</w:t>
      </w:r>
      <w:r>
        <w:t>‑HSL and a separate site for RhlR/C</w:t>
      </w:r>
      <w:r>
        <w:rPr>
          <w:vertAlign w:val="subscript"/>
        </w:rPr>
        <w:t>4</w:t>
      </w:r>
      <w:r>
        <w:t xml:space="preserve">‑HSL. Figure 6 clearly shows that we cannot. The maximum expression observed, shown as a “ceiling” in that figure’s panels, </w:t>
      </w:r>
      <w:r>
        <w:lastRenderedPageBreak/>
        <w:t>far exceeds the sum of the signals’ individual influence. The presence of both signals boosts expression by as much as 30-fold beyond the level of what a simple sum would predict.</w:t>
      </w:r>
    </w:p>
    <w:p w:rsidR="001B3571" w:rsidRDefault="00000000">
      <w:pPr>
        <w:pStyle w:val="CaptionedFigure"/>
      </w:pPr>
      <w:bookmarkStart w:id="10" w:name="fig:single_all"/>
      <w:r>
        <w:rPr>
          <w:noProof/>
        </w:rPr>
        <w:drawing>
          <wp:inline distT="0" distB="0" distL="0" distR="0">
            <wp:extent cx="5715000" cy="2190750"/>
            <wp:effectExtent l="0" t="0" r="0" b="0"/>
            <wp:docPr id="49" name="Picture" descr="Figure 6: single_all"/>
            <wp:cNvGraphicFramePr/>
            <a:graphic xmlns:a="http://schemas.openxmlformats.org/drawingml/2006/main">
              <a:graphicData uri="http://schemas.openxmlformats.org/drawingml/2006/picture">
                <pic:pic xmlns:pic="http://schemas.openxmlformats.org/drawingml/2006/picture">
                  <pic:nvPicPr>
                    <pic:cNvPr id="50" name="Picture" descr="Figures/single_all.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715000" cy="2190750"/>
                    </a:xfrm>
                    <a:prstGeom prst="rect">
                      <a:avLst/>
                    </a:prstGeom>
                    <a:noFill/>
                    <a:ln w="9525">
                      <a:noFill/>
                      <a:headEnd/>
                      <a:tailEnd/>
                    </a:ln>
                  </pic:spPr>
                </pic:pic>
              </a:graphicData>
            </a:graphic>
          </wp:inline>
        </w:drawing>
      </w:r>
    </w:p>
    <w:bookmarkEnd w:id="10"/>
    <w:p w:rsidR="001B3571" w:rsidRDefault="00000000">
      <w:pPr>
        <w:pStyle w:val="Caption"/>
      </w:pPr>
      <w:r>
        <w:rPr>
          <w:b/>
          <w:bCs/>
        </w:rPr>
        <w:t>Figure 6. Neither 3‑oxo‑C</w:t>
      </w:r>
      <w:r>
        <w:rPr>
          <w:b/>
          <w:bCs/>
          <w:vertAlign w:val="subscript"/>
        </w:rPr>
        <w:t>12</w:t>
      </w:r>
      <w:r>
        <w:rPr>
          <w:b/>
          <w:bCs/>
        </w:rPr>
        <w:t>‑HSL nor C</w:t>
      </w:r>
      <w:r>
        <w:rPr>
          <w:b/>
          <w:bCs/>
          <w:vertAlign w:val="subscript"/>
        </w:rPr>
        <w:t>4</w:t>
      </w:r>
      <w:r>
        <w:rPr>
          <w:b/>
          <w:bCs/>
        </w:rPr>
        <w:t xml:space="preserve">‑HSL alone can achieve maximal expression of </w:t>
      </w:r>
      <w:r>
        <w:rPr>
          <w:b/>
          <w:bCs/>
          <w:iCs/>
        </w:rPr>
        <w:t>lasI</w:t>
      </w:r>
      <w:r>
        <w:rPr>
          <w:b/>
          <w:bCs/>
        </w:rPr>
        <w:t xml:space="preserve"> or </w:t>
      </w:r>
      <w:r>
        <w:rPr>
          <w:b/>
          <w:bCs/>
          <w:iCs/>
        </w:rPr>
        <w:t>rhlI.</w:t>
      </w:r>
      <w:r>
        <w:t xml:space="preserve"> Both genes require non-zero concentrations of both signals to achieve maximum expression. The flat surfaces in the plots indicate the maximum mean expression level measured across all combinations of signal concentrations. The plotted points represent observed expression levels when C</w:t>
      </w:r>
      <w:r>
        <w:rPr>
          <w:vertAlign w:val="subscript"/>
        </w:rPr>
        <w:t>4</w:t>
      </w:r>
      <w:r>
        <w:t>‑HSL is withheld (red) and when 3‑oxo‑C</w:t>
      </w:r>
      <w:r>
        <w:rPr>
          <w:vertAlign w:val="subscript"/>
        </w:rPr>
        <w:t>12</w:t>
      </w:r>
      <w:r>
        <w:t>‑HSL is withheld (yellow). Lines indicate the model predictions (Equation 1, parameters in Table S.3).</w:t>
      </w:r>
    </w:p>
    <w:p w:rsidR="001B3571"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(Kaplan et al. 2008). Equation 2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1B3571" w:rsidRDefault="007D5816" w:rsidP="007D5816">
      <w:pPr>
        <w:pStyle w:val="BodyText"/>
      </w:pPr>
      <w:r>
        <w:rPr>
          <w:noProof/>
        </w:rPr>
        <w:lastRenderedPageBreak/>
        <w:drawing>
          <wp:inline distT="0" distB="0" distL="0" distR="0">
            <wp:extent cx="5486400" cy="2938536"/>
            <wp:effectExtent l="0" t="0" r="0" b="0"/>
            <wp:docPr id="195534080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0804" name="Graphic 1955340804"/>
                    <pic:cNvPicPr/>
                  </pic:nvPicPr>
                  <pic:blipFill>
                    <a:blip r:embed="rId19">
                      <a:extLst>
                        <a:ext uri="{96DAC541-7B7A-43D3-8B79-37D633B846F1}">
                          <asvg:svgBlip xmlns:asvg="http://schemas.microsoft.com/office/drawing/2016/SVG/main" r:embed="rId20"/>
                        </a:ext>
                      </a:extLst>
                    </a:blip>
                    <a:stretch>
                      <a:fillRect/>
                    </a:stretch>
                  </pic:blipFill>
                  <pic:spPr>
                    <a:xfrm>
                      <a:off x="0" y="0"/>
                      <a:ext cx="5486400" cy="2938536"/>
                    </a:xfrm>
                    <a:prstGeom prst="rect">
                      <a:avLst/>
                    </a:prstGeom>
                  </pic:spPr>
                </pic:pic>
              </a:graphicData>
            </a:graphic>
          </wp:inline>
        </w:drawing>
      </w:r>
    </w:p>
    <w:p w:rsidR="001B3571" w:rsidRDefault="00000000">
      <w:pPr>
        <w:pStyle w:val="BodyText"/>
      </w:pPr>
      <w:r>
        <w:t xml:space="preserve">For both </w:t>
      </w:r>
      <w:r>
        <w:rPr>
          <w:i/>
          <w:iCs/>
        </w:rPr>
        <w:t>lasI</w:t>
      </w:r>
      <w:r>
        <w:t xml:space="preserve"> and </w:t>
      </w:r>
      <w:r>
        <w:rPr>
          <w:i/>
          <w:iCs/>
        </w:rPr>
        <w:t>rhlI</w:t>
      </w:r>
      <w:r>
        <w:t xml:space="preserve"> we again minimize the sum of squared errors to estimate parameter values. The resulting multi-signal models in Table S.4 have R</w:t>
      </w:r>
      <w:r>
        <w:rPr>
          <w:vertAlign w:val="superscript"/>
        </w:rPr>
        <w:t>2</w:t>
      </w:r>
      <w:r>
        <w:t xml:space="preserve"> values of 0.82 and 0.77. Figure 7 compares the model estimates with observations. For both genes, the model captures the effect of either signal in isolation and both signals in combination.</w:t>
      </w:r>
    </w:p>
    <w:p w:rsidR="001B3571" w:rsidRDefault="00000000">
      <w:pPr>
        <w:pStyle w:val="CaptionedFigure"/>
      </w:pPr>
      <w:bookmarkStart w:id="11" w:name="fig:multiple"/>
      <w:r>
        <w:rPr>
          <w:noProof/>
        </w:rPr>
        <w:drawing>
          <wp:inline distT="0" distB="0" distL="0" distR="0">
            <wp:extent cx="5334000" cy="2190750"/>
            <wp:effectExtent l="0" t="0" r="0" b="0"/>
            <wp:docPr id="55" name="Picture" descr="Figure 7: multiple"/>
            <wp:cNvGraphicFramePr/>
            <a:graphic xmlns:a="http://schemas.openxmlformats.org/drawingml/2006/main">
              <a:graphicData uri="http://schemas.openxmlformats.org/drawingml/2006/picture">
                <pic:pic xmlns:pic="http://schemas.openxmlformats.org/drawingml/2006/picture">
                  <pic:nvPicPr>
                    <pic:cNvPr id="56" name="Picture" descr="Figures/multiple.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334000" cy="2190750"/>
                    </a:xfrm>
                    <a:prstGeom prst="rect">
                      <a:avLst/>
                    </a:prstGeom>
                    <a:noFill/>
                    <a:ln w="9525">
                      <a:noFill/>
                      <a:headEnd/>
                      <a:tailEnd/>
                    </a:ln>
                  </pic:spPr>
                </pic:pic>
              </a:graphicData>
            </a:graphic>
          </wp:inline>
        </w:drawing>
      </w:r>
    </w:p>
    <w:bookmarkEnd w:id="11"/>
    <w:p w:rsidR="001B3571" w:rsidRDefault="00000000">
      <w:pPr>
        <w:pStyle w:val="Caption"/>
      </w:pPr>
      <w:r>
        <w:rPr>
          <w:b/>
          <w:bCs/>
        </w:rPr>
        <w:t xml:space="preserve">Figure 7. Multi-signal models of Equation 2 for </w:t>
      </w:r>
      <w:r>
        <w:rPr>
          <w:b/>
          <w:bCs/>
          <w:iCs/>
        </w:rPr>
        <w:t>lasI</w:t>
      </w:r>
      <w:r>
        <w:rPr>
          <w:b/>
          <w:bCs/>
        </w:rPr>
        <w:t xml:space="preserve"> and </w:t>
      </w:r>
      <w:r>
        <w:rPr>
          <w:b/>
          <w:bCs/>
          <w:iCs/>
        </w:rPr>
        <w:t>rhlI</w:t>
      </w:r>
      <w:r>
        <w:rPr>
          <w:b/>
          <w:bCs/>
        </w:rPr>
        <w:t xml:space="preserve"> expression capture the synergistic effects of both signals.</w:t>
      </w:r>
      <w:r>
        <w:t xml:space="preserve">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for the models is 0.82 and 0.77, respectively. Figures S.4 and S.5 present more detailed comparisons between model and observations.</w:t>
      </w:r>
    </w:p>
    <w:p w:rsidR="001B3571" w:rsidRDefault="00000000">
      <w:pPr>
        <w:pStyle w:val="BodyText"/>
      </w:pPr>
      <w:r>
        <w:t xml:space="preserve">The parameter estimates in Table S.4 quantify the relative effect of individual and combined signals. For both </w:t>
      </w:r>
      <w:r>
        <w:rPr>
          <w:i/>
          <w:iCs/>
        </w:rPr>
        <w:t>lasI</w:t>
      </w:r>
      <w:r>
        <w:t xml:space="preserve"> and </w:t>
      </w:r>
      <w:r>
        <w:rPr>
          <w:i/>
          <w:iCs/>
        </w:rPr>
        <w:t>rhlI,</w:t>
      </w:r>
      <w:r>
        <w:t xml:space="preserve"> a single signal increases expression no more than 38- or 35-fold. Both signals combined, however, increase expression an </w:t>
      </w:r>
      <w:r>
        <w:rPr>
          <w:i/>
          <w:iCs/>
        </w:rPr>
        <w:t>additional</w:t>
      </w:r>
      <w:r>
        <w:t xml:space="preserve"> 30- or 27-fold. The maximum expression induced by both signals nearly doubles compared to the maximum </w:t>
      </w:r>
      <w:r>
        <w:lastRenderedPageBreak/>
        <w:t xml:space="preserve">expression induced by any signal alone. Figure 8 summarizes the model parameters graphically. It answers the question posed in Figure 2—the </w:t>
      </w:r>
      <w:r>
        <w:rPr>
          <w:i/>
          <w:iCs/>
        </w:rPr>
        <w:t>rhl</w:t>
      </w:r>
      <w:r>
        <w:t xml:space="preserve"> system does influence the </w:t>
      </w:r>
      <w:r>
        <w:rPr>
          <w:i/>
          <w:iCs/>
        </w:rPr>
        <w:t>las</w:t>
      </w:r>
      <w:r>
        <w:t xml:space="preserve"> system—and it shows the relative magnitudes of the effects.</w:t>
      </w:r>
    </w:p>
    <w:p w:rsidR="001B3571" w:rsidRDefault="00000000">
      <w:pPr>
        <w:pStyle w:val="CaptionedFigure"/>
      </w:pPr>
      <w:bookmarkStart w:id="12" w:name="fig:reciprocal"/>
      <w:r>
        <w:rPr>
          <w:noProof/>
        </w:rPr>
        <w:drawing>
          <wp:inline distT="0" distB="0" distL="0" distR="0">
            <wp:extent cx="4486275" cy="2676525"/>
            <wp:effectExtent l="0" t="0" r="0" b="0"/>
            <wp:docPr id="60" name="Picture" descr="Figure 8: reciprocal"/>
            <wp:cNvGraphicFramePr/>
            <a:graphic xmlns:a="http://schemas.openxmlformats.org/drawingml/2006/main">
              <a:graphicData uri="http://schemas.openxmlformats.org/drawingml/2006/picture">
                <pic:pic xmlns:pic="http://schemas.openxmlformats.org/drawingml/2006/picture">
                  <pic:nvPicPr>
                    <pic:cNvPr id="61" name="Picture" descr="Figures/reciprocal.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4486275" cy="2676525"/>
                    </a:xfrm>
                    <a:prstGeom prst="rect">
                      <a:avLst/>
                    </a:prstGeom>
                    <a:noFill/>
                    <a:ln w="9525">
                      <a:noFill/>
                      <a:headEnd/>
                      <a:tailEnd/>
                    </a:ln>
                  </pic:spPr>
                </pic:pic>
              </a:graphicData>
            </a:graphic>
          </wp:inline>
        </w:drawing>
      </w:r>
    </w:p>
    <w:bookmarkEnd w:id="12"/>
    <w:p w:rsidR="001B3571" w:rsidRDefault="00000000">
      <w:pPr>
        <w:pStyle w:val="Caption"/>
      </w:pPr>
      <w:r>
        <w:rPr>
          <w:b/>
          <w:bCs/>
        </w:rPr>
        <w:t xml:space="preserve">Figure 8. The </w:t>
      </w:r>
      <w:r>
        <w:rPr>
          <w:b/>
          <w:bCs/>
          <w:iCs/>
        </w:rPr>
        <w:t>las</w:t>
      </w:r>
      <w:r>
        <w:rPr>
          <w:b/>
          <w:bCs/>
        </w:rPr>
        <w:t xml:space="preserve"> and </w:t>
      </w:r>
      <w:r>
        <w:rPr>
          <w:b/>
          <w:bCs/>
          <w:iCs/>
        </w:rPr>
        <w:t>rhl</w:t>
      </w:r>
      <w:r>
        <w:rPr>
          <w:b/>
          <w:bCs/>
        </w:rPr>
        <w:t xml:space="preserve"> quorum sensing systems have a reciprocal, but unequal relationship.</w:t>
      </w:r>
      <w:r>
        <w:t xml:space="preserve"> Red arrows represent maximum fold-change induction from </w:t>
      </w:r>
      <w:r>
        <w:rPr>
          <w:iCs/>
        </w:rPr>
        <w:t>las</w:t>
      </w:r>
      <w:r>
        <w:t>’s 3‑oxo‑C</w:t>
      </w:r>
      <w:r>
        <w:rPr>
          <w:vertAlign w:val="subscript"/>
        </w:rPr>
        <w:t>12</w:t>
      </w:r>
      <w:r>
        <w:t xml:space="preserve">‑HSL and yellow arrows maximum fold-change induction from </w:t>
      </w:r>
      <w:r>
        <w:rPr>
          <w:iCs/>
        </w:rPr>
        <w:t>rhl’</w:t>
      </w:r>
      <w:r>
        <w:t>s C</w:t>
      </w:r>
      <w:r>
        <w:rPr>
          <w:vertAlign w:val="subscript"/>
        </w:rPr>
        <w:t>4</w:t>
      </w:r>
      <w:r>
        <w:t xml:space="preserve">‑HSL. The orange component is additional induction from the combination of both signals. Arrow thickness is proportional to fold-change. Inset shows relative contribution of each signal to total maximum fold-change for expression levels of </w:t>
      </w:r>
      <w:r>
        <w:rPr>
          <w:iCs/>
        </w:rPr>
        <w:t>lasI</w:t>
      </w:r>
      <w:r>
        <w:t xml:space="preserve"> and </w:t>
      </w:r>
      <w:r>
        <w:rPr>
          <w:iCs/>
        </w:rPr>
        <w:t>rhlI,</w:t>
      </w:r>
      <w:r>
        <w:t xml:space="preserve"> and half concentration values for each.</w:t>
      </w:r>
    </w:p>
    <w:p w:rsidR="001B3571" w:rsidRDefault="00000000">
      <w:pPr>
        <w:pStyle w:val="Heading3"/>
      </w:pPr>
      <w:bookmarkStart w:id="13" w:name="Xd145c737aae79dd4dc1f416a77ecbba85a1c40d"/>
      <w:bookmarkEnd w:id="8"/>
      <w:r>
        <w:rPr>
          <w:i/>
          <w:iCs/>
        </w:rPr>
        <w:t>las</w:t>
      </w:r>
      <w:r>
        <w:t xml:space="preserve"> and </w:t>
      </w:r>
      <w:r>
        <w:rPr>
          <w:i/>
          <w:iCs/>
        </w:rPr>
        <w:t>rhl</w:t>
      </w:r>
      <w:r>
        <w:t xml:space="preserve"> Synergy Also Shapes Control of Quorum Sensing Effector Genes</w:t>
      </w:r>
    </w:p>
    <w:p w:rsidR="001B3571" w:rsidRDefault="00000000">
      <w:pPr>
        <w:pStyle w:val="FirstParagraph"/>
      </w:pPr>
      <w:r>
        <w:t xml:space="preserve">Our results, summarized in Figure 8, establish that both AHL signals influence the expression levels of both synthase genes in a synergistic manner. We note that the methods outlined in Figures 3–8 for the </w:t>
      </w:r>
      <w:r>
        <w:rPr>
          <w:i/>
          <w:iCs/>
        </w:rPr>
        <w:t>lasI</w:t>
      </w:r>
      <w:r>
        <w:t xml:space="preserve"> and </w:t>
      </w:r>
      <w:r>
        <w:rPr>
          <w:i/>
          <w:iCs/>
        </w:rPr>
        <w:t>rhlI</w:t>
      </w:r>
      <w:r>
        <w:t xml:space="preserve"> synthase genes can be applied to any QS-controlled gene of interest and can quantify dual signal control over expression levels. Here we look at </w:t>
      </w:r>
      <w:r>
        <w:rPr>
          <w:i/>
          <w:iCs/>
        </w:rPr>
        <w:t>lasB,</w:t>
      </w:r>
      <w:r>
        <w:t xml:space="preserve"> a classic QS effector gene that codes for the secreted digestive enzyme LasB and a widely used as a model of QS-mediated virulence (Casilag et al. 2016; Cigana et al. 2021) and cooperation (Diggle et al. 2007; Allen et al. 2016; Sexton and Schuster 2017).</w:t>
      </w:r>
    </w:p>
    <w:p w:rsidR="001B3571" w:rsidRDefault="00000000">
      <w:pPr>
        <w:pStyle w:val="BodyText"/>
      </w:pPr>
      <w:r>
        <w:t xml:space="preserve">The prior literature provides a clear expectation that </w:t>
      </w:r>
      <w:r>
        <w:rPr>
          <w:i/>
          <w:iCs/>
        </w:rPr>
        <w:t>lasB</w:t>
      </w:r>
      <w:r>
        <w:t xml:space="preserve"> expression will be positively influenced by both AHL signal molecules. (Pearson, Pesci, and Iglewski 1997; Nouwens et al. 2003), but does not provide a quantitative summary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activation under dual-signal exposure (Figure 9A). Fitting Equation 2 to the data highlights that </w:t>
      </w:r>
      <w:r>
        <w:rPr>
          <w:i/>
          <w:iCs/>
        </w:rPr>
        <w:t>lasB</w:t>
      </w:r>
      <w:r>
        <w:t xml:space="preserve"> expression is dominated by the synergistic combination of both signals rather than either signal in isolation (Figure 9B). Notably, </w:t>
      </w:r>
      <w:r>
        <w:rPr>
          <w:i/>
          <w:iCs/>
        </w:rPr>
        <w:t>lasB</w:t>
      </w:r>
      <w:r>
        <w:t xml:space="preserve"> expression is more senstive to C</w:t>
      </w:r>
      <w:r>
        <w:rPr>
          <w:vertAlign w:val="subscript"/>
        </w:rPr>
        <w:t>4</w:t>
      </w:r>
      <w:r>
        <w:t>‑HSL than to 3‑oxo‑C</w:t>
      </w:r>
      <w:r>
        <w:rPr>
          <w:vertAlign w:val="subscript"/>
        </w:rPr>
        <w:t>12</w:t>
      </w:r>
      <w:r>
        <w:t>‑HSL. (Figure 9C).</w:t>
      </w:r>
    </w:p>
    <w:p w:rsidR="001B3571" w:rsidRDefault="00000000">
      <w:pPr>
        <w:pStyle w:val="CaptionedFigure"/>
      </w:pPr>
      <w:bookmarkStart w:id="14" w:name="fig:lasb_expression"/>
      <w:r>
        <w:rPr>
          <w:noProof/>
        </w:rPr>
        <w:lastRenderedPageBreak/>
        <w:drawing>
          <wp:inline distT="0" distB="0" distL="0" distR="0">
            <wp:extent cx="5705475" cy="3962400"/>
            <wp:effectExtent l="0" t="0" r="0" b="0"/>
            <wp:docPr id="66" name="Picture" descr="Figure 9: lasb_expression"/>
            <wp:cNvGraphicFramePr/>
            <a:graphic xmlns:a="http://schemas.openxmlformats.org/drawingml/2006/main">
              <a:graphicData uri="http://schemas.openxmlformats.org/drawingml/2006/picture">
                <pic:pic xmlns:pic="http://schemas.openxmlformats.org/drawingml/2006/picture">
                  <pic:nvPicPr>
                    <pic:cNvPr id="67" name="Picture" descr="Figures/lasb_expression.svg"/>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705475" cy="3962400"/>
                    </a:xfrm>
                    <a:prstGeom prst="rect">
                      <a:avLst/>
                    </a:prstGeom>
                    <a:noFill/>
                    <a:ln w="9525">
                      <a:noFill/>
                      <a:headEnd/>
                      <a:tailEnd/>
                    </a:ln>
                  </pic:spPr>
                </pic:pic>
              </a:graphicData>
            </a:graphic>
          </wp:inline>
        </w:drawing>
      </w:r>
    </w:p>
    <w:bookmarkEnd w:id="14"/>
    <w:p w:rsidR="001B3571" w:rsidRDefault="00000000">
      <w:pPr>
        <w:pStyle w:val="Caption"/>
      </w:pPr>
      <w:r>
        <w:rPr>
          <w:b/>
          <w:bCs/>
        </w:rPr>
        <w:t xml:space="preserve">Figure 9. Expression of </w:t>
      </w:r>
      <w:r>
        <w:rPr>
          <w:b/>
          <w:bCs/>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 Heatmap showing fold-change in RLU/OD values compared to baseline with no exogenous signals. (B) Surface plot showing raw RLU/OD values comparing maximum measured expression (blue “ceiling”) with observed expression levels when C</w:t>
      </w:r>
      <w:r>
        <w:rPr>
          <w:vertAlign w:val="subscript"/>
        </w:rPr>
        <w:t>4</w:t>
      </w:r>
      <w:r>
        <w:t>‑HSL is withheld (red) and when 3‑oxo‑C</w:t>
      </w:r>
      <w:r>
        <w:rPr>
          <w:vertAlign w:val="subscript"/>
        </w:rPr>
        <w:t>12</w:t>
      </w:r>
      <w:r>
        <w:t>‑HSL is withheld (yellow). Lines indicate the model predictions (Equation 1). (C) Summary of model parameters in context of lasI and rhlI. Figure S.3 shows underlying expression data for full time course of experiments; Table S.5 lists the parameter values, and Figures S.6 and S.7 provide a detailed comparison of model predictions and observations.</w:t>
      </w:r>
    </w:p>
    <w:p w:rsidR="001B3571" w:rsidRDefault="00000000">
      <w:pPr>
        <w:pStyle w:val="Heading3"/>
      </w:pPr>
      <w:bookmarkStart w:id="15" w:name="X640711410c21f1b42f74977b292640e4bbbb74d"/>
      <w:bookmarkEnd w:id="13"/>
      <w:r>
        <w:t>Mathematical Models Incorporating Multi-signal Interactions Predict Quorum Sensing Response to Environmental Variation</w:t>
      </w:r>
    </w:p>
    <w:p w:rsidR="001B3571" w:rsidRDefault="00000000">
      <w:pPr>
        <w:pStyle w:val="FirstParagraph"/>
      </w:pPr>
      <w:r>
        <w:t xml:space="preserve">Our parameterized gene expression model (Equation 2)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7 and S.6), which leaves open the question of how the signal environment </w:t>
      </w:r>
      <w:r>
        <w:rPr>
          <w:b/>
          <w:bCs/>
        </w:rPr>
        <w:t>S</w:t>
      </w:r>
      <w:r>
        <w:t xml:space="preserve"> relates to underlying dimensions of environmental variation—the hypothesized sensing targets of quorum sensing (population density (Fuqua, Winans, and Greenberg 1994), diffusion (Redfield 2002), efficiency (Hense et al. 2007), containment (Boedicker, Vincent, and Ismagilov 2009), genotypes (Allen et al. 2016), combinations (Cornforth et al. 2014), etc.)</w:t>
      </w:r>
    </w:p>
    <w:p w:rsidR="001B3571" w:rsidRDefault="00000000">
      <w:pPr>
        <w:pStyle w:val="BodyText"/>
      </w:pPr>
      <w:r>
        <w:t xml:space="preserve">To connect our gene expression model to critical environmental dimensions of bacterial population density and mass transfer (e.g. diffusion or advective flow), we build on previous models of extracellular signal dynamics (James et al. 2000; Dockery and Keener 2001; Ward et al. 2001; Brown 2013; Cornforth et al. 2014). We assume that signal concentration increases in </w:t>
      </w:r>
      <w:r>
        <w:lastRenderedPageBreak/>
        <w:t xml:space="preserve">proportion to the corresponding synthase’s expression level, multiplied by the number of cells expressing synthase, and decreases due to a constant rate of decay and removal via mass transfer. These assumptions lead to the differential equation model of Equation 3,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2)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1B3571" w:rsidRDefault="007D5816">
      <w:pPr>
        <w:pStyle w:val="FirstParagraph"/>
      </w:pPr>
      <w:r>
        <w:rPr>
          <w:noProof/>
        </w:rPr>
        <w:drawing>
          <wp:inline distT="0" distB="0" distL="0" distR="0">
            <wp:extent cx="5486400" cy="2820112"/>
            <wp:effectExtent l="0" t="0" r="0" b="0"/>
            <wp:docPr id="91131150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11502" name="Graphic 911311502"/>
                    <pic:cNvPicPr/>
                  </pic:nvPicPr>
                  <pic:blipFill>
                    <a:blip r:embed="rId27">
                      <a:extLst>
                        <a:ext uri="{96DAC541-7B7A-43D3-8B79-37D633B846F1}">
                          <asvg:svgBlip xmlns:asvg="http://schemas.microsoft.com/office/drawing/2016/SVG/main" r:embed="rId28"/>
                        </a:ext>
                      </a:extLst>
                    </a:blip>
                    <a:stretch>
                      <a:fillRect/>
                    </a:stretch>
                  </pic:blipFill>
                  <pic:spPr>
                    <a:xfrm>
                      <a:off x="0" y="0"/>
                      <a:ext cx="5486400" cy="2820112"/>
                    </a:xfrm>
                    <a:prstGeom prst="rect">
                      <a:avLst/>
                    </a:prstGeom>
                  </pic:spPr>
                </pic:pic>
              </a:graphicData>
            </a:graphic>
          </wp:inline>
        </w:drawing>
      </w:r>
    </w:p>
    <w:p w:rsidR="001B3571"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3 for either independent (Equation1 or synergistic (Equation 2)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rsidR="001B3571" w:rsidRDefault="00000000">
      <w:pPr>
        <w:pStyle w:val="BodyText"/>
      </w:pPr>
      <w:r>
        <w:t xml:space="preserve">To numerically solve for equilibrium signal values in Equation 3 that result from given values of population density and mass transfer rate, we derive parameter estimates for synergistic </w:t>
      </w:r>
      <w:r>
        <w:rPr>
          <w:i/>
          <w:iCs/>
        </w:rPr>
        <w:t>E</w:t>
      </w:r>
      <w:r>
        <w:rPr>
          <w:i/>
          <w:iCs/>
          <w:vertAlign w:val="subscript"/>
        </w:rPr>
        <w:t>i</w:t>
      </w:r>
      <w:r>
        <w:t>(</w:t>
      </w:r>
      <w:r>
        <w:rPr>
          <w:b/>
          <w:bCs/>
        </w:rPr>
        <w:t>S</w:t>
      </w:r>
      <w:r>
        <w:t xml:space="preserve">) from our experimental data (Equation 2,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S.3 and Figure S.8. We can connect these equilibrium signal values to QS-controlled effector behavior using our model of </w:t>
      </w:r>
      <w:r>
        <w:rPr>
          <w:i/>
          <w:iCs/>
        </w:rPr>
        <w:t>lasB</w:t>
      </w:r>
      <w:r>
        <w:t xml:space="preserve"> expression (Equation 2 as parameterized by Table S.5). Integrating these steps allows us to probe how </w:t>
      </w:r>
      <w:r>
        <w:rPr>
          <w:i/>
          <w:iCs/>
        </w:rPr>
        <w:t>lasB</w:t>
      </w:r>
      <w:r>
        <w:t xml:space="preserve"> expression varies as the social (</w:t>
      </w:r>
      <w:r>
        <w:rPr>
          <w:i/>
          <w:iCs/>
        </w:rPr>
        <w:t>N</w:t>
      </w:r>
      <w:r>
        <w:t>) and physical (</w:t>
      </w:r>
      <w:r>
        <w:rPr>
          <w:i/>
          <w:iCs/>
        </w:rPr>
        <w:t>m</w:t>
      </w:r>
      <w:r>
        <w:t>) environmentals change.</w:t>
      </w:r>
    </w:p>
    <w:p w:rsidR="001B3571" w:rsidRDefault="00000000">
      <w:pPr>
        <w:pStyle w:val="BodyText"/>
      </w:pPr>
      <w:r>
        <w:t xml:space="preserve">In Figure 10 we illustrate our integrated model prediction of </w:t>
      </w:r>
      <w:r>
        <w:rPr>
          <w:i/>
          <w:iCs/>
        </w:rPr>
        <w:t>lasB</w:t>
      </w:r>
      <w:r>
        <w:t xml:space="preserve"> expression as a function of change in stationary phase population density, </w:t>
      </w:r>
      <w:r>
        <w:rPr>
          <w:i/>
          <w:iCs/>
        </w:rPr>
        <w:t>N</w:t>
      </w:r>
      <w:r>
        <w:t xml:space="preserve"> (solid line, Figure 10), capturing the causal chain from environment </w:t>
      </w:r>
      <w:r>
        <w:rPr>
          <w:i/>
          <w:iCs/>
        </w:rPr>
        <w:t>N</w:t>
      </w:r>
      <w:r>
        <w:t xml:space="preserve"> to signal levels </w:t>
      </w:r>
      <w:r>
        <w:rPr>
          <w:b/>
          <w:bCs/>
        </w:rPr>
        <w:t>S</w:t>
      </w:r>
      <w:r>
        <w:t xml:space="preserve"> (Equation 3) and signals </w:t>
      </w:r>
      <w:r>
        <w:rPr>
          <w:b/>
          <w:bCs/>
        </w:rPr>
        <w:t>S</w:t>
      </w:r>
      <w:r>
        <w:t xml:space="preserve"> to </w:t>
      </w:r>
      <w:r>
        <w:rPr>
          <w:i/>
          <w:iCs/>
        </w:rPr>
        <w:t>lasB</w:t>
      </w:r>
      <w:r>
        <w:t xml:space="preserve"> expression (Equation 2, Figure 9, Table S.5). To test this prediction using an independent dataset, we use previously published data on </w:t>
      </w:r>
      <w:r>
        <w:rPr>
          <w:i/>
          <w:iCs/>
        </w:rPr>
        <w:t>lasB</w:t>
      </w:r>
      <w:r>
        <w:t xml:space="preserve"> expression as a function of stationary phase density (Rattray et al. 2022). Our model prediction is in strong agreement with the data (R</w:t>
      </w:r>
      <w:r>
        <w:rPr>
          <w:vertAlign w:val="superscript"/>
        </w:rPr>
        <w:t>2</w:t>
      </w:r>
      <w:r>
        <w:t xml:space="preserve"> = 0.91), demonstrating not only the utility of our approach but also providing theoretical support for the conclusions of the prior experimental study (Rattray et al. 2022): QS controlled behaviors in </w:t>
      </w:r>
      <w:r>
        <w:rPr>
          <w:i/>
          <w:iCs/>
        </w:rPr>
        <w:t>P. aeruginosa</w:t>
      </w:r>
      <w:r>
        <w:t xml:space="preserve"> are </w:t>
      </w:r>
      <w:r>
        <w:lastRenderedPageBreak/>
        <w:t>not governed by a critical cell density or ‘quorum’ threshold separating off/on states, but are better described as producing graded or rheostatic responses to changes in density.</w:t>
      </w:r>
    </w:p>
    <w:p w:rsidR="001B3571" w:rsidRDefault="00000000">
      <w:pPr>
        <w:pStyle w:val="CaptionedFigure"/>
      </w:pPr>
      <w:bookmarkStart w:id="16" w:name="fig:lasb_response"/>
      <w:r>
        <w:rPr>
          <w:noProof/>
        </w:rPr>
        <w:drawing>
          <wp:inline distT="0" distB="0" distL="0" distR="0">
            <wp:extent cx="4076700" cy="3162300"/>
            <wp:effectExtent l="0" t="0" r="0" b="0"/>
            <wp:docPr id="73" name="Picture" descr="Figure 10: lasb_response"/>
            <wp:cNvGraphicFramePr/>
            <a:graphic xmlns:a="http://schemas.openxmlformats.org/drawingml/2006/main">
              <a:graphicData uri="http://schemas.openxmlformats.org/drawingml/2006/picture">
                <pic:pic xmlns:pic="http://schemas.openxmlformats.org/drawingml/2006/picture">
                  <pic:nvPicPr>
                    <pic:cNvPr id="74" name="Picture" descr="Figures/lasb_response.svg"/>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4076700" cy="3162300"/>
                    </a:xfrm>
                    <a:prstGeom prst="rect">
                      <a:avLst/>
                    </a:prstGeom>
                    <a:noFill/>
                    <a:ln w="9525">
                      <a:noFill/>
                      <a:headEnd/>
                      <a:tailEnd/>
                    </a:ln>
                  </pic:spPr>
                </pic:pic>
              </a:graphicData>
            </a:graphic>
          </wp:inline>
        </w:drawing>
      </w:r>
    </w:p>
    <w:bookmarkEnd w:id="16"/>
    <w:p w:rsidR="001B3571" w:rsidRDefault="00000000">
      <w:pPr>
        <w:pStyle w:val="Caption"/>
      </w:pPr>
      <w:r>
        <w:rPr>
          <w:b/>
          <w:bCs/>
        </w:rPr>
        <w:t xml:space="preserve">Figure 10. </w:t>
      </w:r>
      <w:r>
        <w:rPr>
          <w:b/>
          <w:bCs/>
          <w:iCs/>
        </w:rPr>
        <w:t>lasB</w:t>
      </w:r>
      <w:r>
        <w:rPr>
          <w:b/>
          <w:bCs/>
        </w:rPr>
        <w:t xml:space="preserve"> responds to increasing bacterial density in a graded manner.</w:t>
      </w:r>
      <w:r>
        <w:t xml:space="preserve"> Reaction norm (Stearns 1989) showing predicted </w:t>
      </w:r>
      <w:r>
        <w:rPr>
          <w:iCs/>
        </w:rPr>
        <w:t>lasB</w:t>
      </w:r>
      <w:r>
        <w:t xml:space="preserve"> expression level (solid line), as a function of population carrying capacity. For each density value, equation 3 provides an estimate of equilibrium signal concentrations for 3‑oxo‑C</w:t>
      </w:r>
      <w:r>
        <w:rPr>
          <w:vertAlign w:val="subscript"/>
        </w:rPr>
        <w:t>12</w:t>
      </w:r>
      <w:r>
        <w:t>‑HSL and C</w:t>
      </w:r>
      <w:r>
        <w:rPr>
          <w:vertAlign w:val="subscript"/>
        </w:rPr>
        <w:t>4</w:t>
      </w:r>
      <w:r>
        <w:t xml:space="preserve">‑HSL. The model of equation 2, parameterized by the estimates of Table S.5, then predicts </w:t>
      </w:r>
      <w:r>
        <w:rPr>
          <w:iCs/>
        </w:rPr>
        <w:t>lasB</w:t>
      </w:r>
      <w:r>
        <w:t xml:space="preserve"> expression from those concentrations. The figure also shows independent experimental observations of </w:t>
      </w:r>
      <w:r>
        <w:rPr>
          <w:iCs/>
        </w:rPr>
        <w:t>lasB</w:t>
      </w:r>
      <w:r>
        <w:t xml:space="preserve"> expression as a function of bacterial carrying capacity, manipulated by varying the concentration of limiting carbon (Rattray et al. 2022). Model predictions are in good agreement with independent experimental data (R</w:t>
      </w:r>
      <w:r>
        <w:rPr>
          <w:vertAlign w:val="superscript"/>
        </w:rPr>
        <w:t>2</w:t>
      </w:r>
      <w:r>
        <w:t xml:space="preserve"> = 0.91). Note that the model parameters are not fitted to the data in this figure.</w:t>
      </w:r>
    </w:p>
    <w:p w:rsidR="001B3571" w:rsidRDefault="00000000">
      <w:pPr>
        <w:pStyle w:val="Heading3"/>
      </w:pPr>
      <w:bookmarkStart w:id="17" w:name="Xa6938a39d0945a75713dd8913666836961d703b"/>
      <w:bookmarkEnd w:id="15"/>
      <w:r>
        <w:t>Multi-Signal Architectures Govern Functional Responses to Environmental Variation</w:t>
      </w:r>
    </w:p>
    <w:p w:rsidR="001B3571" w:rsidRDefault="00000000">
      <w:pPr>
        <w:pStyle w:val="FirstParagraph"/>
      </w:pPr>
      <w:r>
        <w:t xml:space="preserve">Following an initial validation of our quantitative predictions linking environmental properties to QS-controlled behaviors (Figure 10), we now turn to analyses of alternate model structures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2 is general enough to model hierarchical and independent architectures in addition to reciprocal architectures. Those alternatives emerge when specific </w:t>
      </w:r>
      <w:r>
        <w:rPr>
          <w:i/>
          <w:iCs/>
        </w:rPr>
        <w:t>ɑ</w:t>
      </w:r>
      <w:r>
        <w:t xml:space="preserve"> parameter values are equal to zero.</w:t>
      </w:r>
    </w:p>
    <w:p w:rsidR="001B3571"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w:t>
      </w:r>
      <w:r>
        <w:lastRenderedPageBreak/>
        <w:t xml:space="preserve">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rsidR="001B3571" w:rsidRDefault="00000000">
      <w:pPr>
        <w:pStyle w:val="BodyText"/>
      </w:pPr>
      <w:r>
        <w:t xml:space="preserve">Using our alternate models, we examine in Figure 11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architectures. Note that in Figure 11A (reciprocal architecture) with </w:t>
      </w:r>
      <w:r>
        <w:rPr>
          <w:i/>
          <w:iCs/>
        </w:rPr>
        <w:t>m =</w:t>
      </w:r>
      <w:r>
        <w:t xml:space="preserve"> 0, we recover the graded response to increasing stationary density </w:t>
      </w:r>
      <w:r>
        <w:rPr>
          <w:i/>
          <w:iCs/>
        </w:rPr>
        <w:t>N</w:t>
      </w:r>
      <w:r>
        <w:t xml:space="preserve"> predicted theoretically and confirmed empirically in Figure 10. Looking across alternate models without rescaling (Figures 11A-C)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11D-F)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S.8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rsidR="001B3571" w:rsidRDefault="00000000">
      <w:pPr>
        <w:pStyle w:val="CaptionedFigure"/>
      </w:pPr>
      <w:bookmarkStart w:id="18" w:name="fig:lasb_heatmaps"/>
      <w:r>
        <w:rPr>
          <w:noProof/>
        </w:rPr>
        <w:drawing>
          <wp:inline distT="0" distB="0" distL="0" distR="0">
            <wp:extent cx="4762500" cy="3238500"/>
            <wp:effectExtent l="0" t="0" r="0" b="0"/>
            <wp:docPr id="79" name="Picture" descr="Figure 11: lasb_heatmaps"/>
            <wp:cNvGraphicFramePr/>
            <a:graphic xmlns:a="http://schemas.openxmlformats.org/drawingml/2006/main">
              <a:graphicData uri="http://schemas.openxmlformats.org/drawingml/2006/picture">
                <pic:pic xmlns:pic="http://schemas.openxmlformats.org/drawingml/2006/picture">
                  <pic:nvPicPr>
                    <pic:cNvPr id="80" name="Picture" descr="Figures/lasb_heatmaps.svg"/>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4762500" cy="3238500"/>
                    </a:xfrm>
                    <a:prstGeom prst="rect">
                      <a:avLst/>
                    </a:prstGeom>
                    <a:noFill/>
                    <a:ln w="9525">
                      <a:noFill/>
                      <a:headEnd/>
                      <a:tailEnd/>
                    </a:ln>
                  </pic:spPr>
                </pic:pic>
              </a:graphicData>
            </a:graphic>
          </wp:inline>
        </w:drawing>
      </w:r>
    </w:p>
    <w:bookmarkEnd w:id="18"/>
    <w:p w:rsidR="001B3571" w:rsidRDefault="00000000">
      <w:pPr>
        <w:pStyle w:val="Caption"/>
      </w:pPr>
      <w:r>
        <w:rPr>
          <w:b/>
          <w:bCs/>
        </w:rPr>
        <w:t>Figure 11. The reciprocal QS architecture generates a greater response to population density and is more robust to environmental interference.</w:t>
      </w:r>
      <w:r>
        <w:t xml:space="preserve"> The figure shows heat maps of </w:t>
      </w:r>
      <w:r>
        <w:rPr>
          <w:iCs/>
        </w:rPr>
        <w:t>lasB</w:t>
      </w:r>
      <w:r>
        <w:t xml:space="preserve"> </w:t>
      </w:r>
      <w:r>
        <w:lastRenderedPageBreak/>
        <w:t xml:space="preserve">expression levels for three quorum sensing architectures. Both population density and mass transfer rate are varied over the same ranges for all heatmaps. The lines on each heat map indicate density and mass transfer values for which </w:t>
      </w:r>
      <w:r>
        <w:rPr>
          <w:iCs/>
        </w:rPr>
        <w:t>lasB</w:t>
      </w:r>
      <w:r>
        <w:t xml:space="preserve"> expression is constant, either 50% of its maximum value (white) or 5% of its maximum value (black). Expression levels calculated from equation 2 model with parameters from Tables S.5, S.6, S.7 and S.8.</w:t>
      </w:r>
    </w:p>
    <w:p w:rsidR="001B3571" w:rsidRDefault="00000000">
      <w:pPr>
        <w:pStyle w:val="Heading2"/>
      </w:pPr>
      <w:bookmarkStart w:id="19" w:name="discussion"/>
      <w:bookmarkEnd w:id="4"/>
      <w:bookmarkEnd w:id="17"/>
      <w:r>
        <w:t>Discussion</w:t>
      </w:r>
    </w:p>
    <w:p w:rsidR="001B3571" w:rsidRDefault="00000000">
      <w:pPr>
        <w:pStyle w:val="FirstParagraph"/>
      </w:pPr>
      <w:r>
        <w:t>As our knowledge of quorum sensing deepens across species, it is increasingly clear that the use of multiple QS signal molecules is the norm (e.g. </w:t>
      </w:r>
      <w:r>
        <w:rPr>
          <w:i/>
          <w:iCs/>
        </w:rPr>
        <w:t>E. coli</w:t>
      </w:r>
      <w:r>
        <w:t xml:space="preserve"> (Mayer et al. 2023), </w:t>
      </w:r>
      <w:r>
        <w:rPr>
          <w:i/>
          <w:iCs/>
        </w:rPr>
        <w:t>B. subtilis</w:t>
      </w:r>
      <w:r>
        <w:t xml:space="preserve"> [Auchtung2006], </w:t>
      </w:r>
      <w:r>
        <w:rPr>
          <w:i/>
          <w:iCs/>
        </w:rPr>
        <w:t>P. polymyxa</w:t>
      </w:r>
      <w:r>
        <w:t xml:space="preserve"> (Voichek et al. 2020), </w:t>
      </w:r>
      <w:r>
        <w:rPr>
          <w:i/>
          <w:iCs/>
        </w:rPr>
        <w:t>V. harveyi</w:t>
      </w:r>
      <w:r>
        <w:t xml:space="preserve"> (Henke and Bassler 2004), and </w:t>
      </w:r>
      <w:r>
        <w:rPr>
          <w:i/>
          <w:iCs/>
        </w:rPr>
        <w:t>V. cholerae</w:t>
      </w:r>
      <w:r>
        <w:t xml:space="preserve"> (Bridges and Bassler 2019)). While this widespread design feature has been probed extensively on a molecular mechanistic scale to produce detailed intracellular “wiring diagrams” (Papenfort and Bassler 2016; Mok, Wingreen, and Bassler 2003). we still lack a general understanding of the dynamical capacities and functional sensing role(s) of these more complex architectures. In this study we use the model QS organism </w:t>
      </w:r>
      <w:r>
        <w:rPr>
          <w:i/>
          <w:iCs/>
        </w:rPr>
        <w:t>Pseudomonas aeruginosa</w:t>
      </w:r>
      <w:r>
        <w:t xml:space="preserve"> to quantify the dynamical interactions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rsidR="001B3571"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2) is incomplete. Specifically, we confirm the observations of Dekimpe and Déziel (Dekimpe and Déziel 2009) and find that the </w:t>
      </w:r>
      <w:r>
        <w:rPr>
          <w:i/>
          <w:iCs/>
        </w:rPr>
        <w:t>rhl</w:t>
      </w:r>
      <w:r>
        <w:t xml:space="preserve"> signal C</w:t>
      </w:r>
      <w:r>
        <w:rPr>
          <w:vertAlign w:val="subscript"/>
        </w:rPr>
        <w:t>4</w:t>
      </w:r>
      <w:r>
        <w:t xml:space="preserve">‑HSL can influence the </w:t>
      </w:r>
      <w:r>
        <w:rPr>
          <w:i/>
          <w:iCs/>
        </w:rPr>
        <w:t>las</w:t>
      </w:r>
      <w:r>
        <w:t xml:space="preserve"> synthase </w:t>
      </w:r>
      <w:r>
        <w:rPr>
          <w:i/>
          <w:iCs/>
        </w:rPr>
        <w:t>lasI.</w:t>
      </w:r>
      <w:r>
        <w:t xml:space="preserve"> We further show that this effect is substantial, as C</w:t>
      </w:r>
      <w:r>
        <w:rPr>
          <w:vertAlign w:val="subscript"/>
        </w:rPr>
        <w:t>4</w:t>
      </w:r>
      <w:r>
        <w:t xml:space="preserve">‑HSL alone induces more than a six-fold increase in </w:t>
      </w:r>
      <w:r>
        <w:rPr>
          <w:i/>
          <w:iCs/>
        </w:rPr>
        <w:t>lasI</w:t>
      </w:r>
      <w:r>
        <w:t xml:space="preserve"> expression compared to basal levels (Figure 4). Fitting mathematical models to data, we quantify within- and among-module interactions, and we demonstrate that the </w:t>
      </w:r>
      <w:r>
        <w:rPr>
          <w:i/>
          <w:iCs/>
        </w:rPr>
        <w:t>las-rhl</w:t>
      </w:r>
      <w:r>
        <w:t xml:space="preserve"> system functions as a biased, reciprocally-activating and cooperative network (Figures 6, 7, and 8). To place this intracellular network in an environmental context, we extend our mathematical model to incorporate environmental variation, and find close quantitative support for our model predictions using existing data (Figure 10).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11).</w:t>
      </w:r>
    </w:p>
    <w:p w:rsidR="001B3571" w:rsidRDefault="00000000">
      <w:pPr>
        <w:pStyle w:val="BodyText"/>
      </w:pPr>
      <w:r>
        <w:t xml:space="preserve">Turning to the most common functional rationales for QS, the parameterized Figure 11A rejects both the basic “density sensing” and “diffusion sensing” models, as responsiveness to a fixed density is dependent on the level of mass transfer, and vice-versa.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(Hense et al. 2007) and combinatorial quorum sensing (Cornforth et al. 2014).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(Cornforth et al. 2014), while our current analysis additionally supports specific predictions on auto-regulation rates (stronger rates of auto-regulation for the more fragile 3‑oxo‑C</w:t>
      </w:r>
      <w:r>
        <w:rPr>
          <w:vertAlign w:val="subscript"/>
        </w:rPr>
        <w:t>12</w:t>
      </w:r>
      <w:r>
        <w:t>‑HSL signal, Table S.4).</w:t>
      </w:r>
    </w:p>
    <w:p w:rsidR="001B3571" w:rsidRDefault="00000000">
      <w:pPr>
        <w:pStyle w:val="BodyText"/>
      </w:pPr>
      <w:r>
        <w:lastRenderedPageBreak/>
        <w:t>Prior combinatorial QS analyses assumed independent signal activation and a simple threshold activation model for each signal, assumptions that are rejected by the results of the current study. To further assess the combinatorial QS model in light of our new model and data, we plot equilibrium signal concentrations for 3‑oxo‑C</w:t>
      </w:r>
      <w:r>
        <w:rPr>
          <w:vertAlign w:val="subscript"/>
        </w:rPr>
        <w:t>12</w:t>
      </w:r>
      <w:r>
        <w:t>‑HSL and C</w:t>
      </w:r>
      <w:r>
        <w:rPr>
          <w:vertAlign w:val="subscript"/>
        </w:rPr>
        <w:t>4</w:t>
      </w:r>
      <w:r>
        <w:t>‑HSL as a function of environmental conditions, and across our 3 alternate multi-signal architectures (Figure 12). Our analyses illustrate that the prediction of differential signal responses to changing environmental parameters is still present under the data-supported reciprocal architecture (different contour slopes in Figure 12A,D), but is attenuated compared to the independent architecture (Figure 12C,F). This attenuation is not surprising given that a reciprocal architecture of activation will strengthen the coupling of activation levels between the two signals, therefore limiting the ability of two signals to report independently on distinct environmental conditions. 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rsidR="001B3571" w:rsidRDefault="00000000">
      <w:pPr>
        <w:pStyle w:val="CaptionedFigure"/>
      </w:pPr>
      <w:bookmarkStart w:id="20" w:name="fig:signals_scaled_heatmaps"/>
      <w:r>
        <w:rPr>
          <w:noProof/>
        </w:rPr>
        <w:drawing>
          <wp:inline distT="0" distB="0" distL="0" distR="0">
            <wp:extent cx="4762500" cy="3238500"/>
            <wp:effectExtent l="0" t="0" r="0" b="0"/>
            <wp:docPr id="86" name="Picture" descr="Figure 12: signals_scaled_heatmaps"/>
            <wp:cNvGraphicFramePr/>
            <a:graphic xmlns:a="http://schemas.openxmlformats.org/drawingml/2006/main">
              <a:graphicData uri="http://schemas.openxmlformats.org/drawingml/2006/picture">
                <pic:pic xmlns:pic="http://schemas.openxmlformats.org/drawingml/2006/picture">
                  <pic:nvPicPr>
                    <pic:cNvPr id="87" name="Picture" descr="Figures/signals_scaled_heatmaps.svg"/>
                    <pic:cNvPicPr>
                      <a:picLocks noChangeAspect="1" noChangeArrowheads="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4762500" cy="3238500"/>
                    </a:xfrm>
                    <a:prstGeom prst="rect">
                      <a:avLst/>
                    </a:prstGeom>
                    <a:noFill/>
                    <a:ln w="9525">
                      <a:noFill/>
                      <a:headEnd/>
                      <a:tailEnd/>
                    </a:ln>
                  </pic:spPr>
                </pic:pic>
              </a:graphicData>
            </a:graphic>
          </wp:inline>
        </w:drawing>
      </w:r>
    </w:p>
    <w:bookmarkEnd w:id="20"/>
    <w:p w:rsidR="001B3571" w:rsidRDefault="00000000">
      <w:pPr>
        <w:pStyle w:val="Caption"/>
      </w:pPr>
      <w:r>
        <w:rPr>
          <w:b/>
          <w:bCs/>
        </w:rPr>
        <w:t>Figure 12. Signal concentration as a function of density and mass transfer varies based on the quorum sensing architecture.</w:t>
      </w:r>
      <w:r>
        <w:t xml:space="preserve"> The figure shows heat maps of equilibrium 3‑oxo‑C</w:t>
      </w:r>
      <w:r>
        <w:rPr>
          <w:vertAlign w:val="subscript"/>
        </w:rPr>
        <w:t>12</w:t>
      </w:r>
      <w:r>
        <w:t>‑HSL and C</w:t>
      </w:r>
      <w:r>
        <w:rPr>
          <w:vertAlign w:val="subscript"/>
        </w:rPr>
        <w:t>4</w:t>
      </w:r>
      <w:r>
        <w:t>‑HSL concentration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2 model with parameters that normalize all three archictures (Tables S.8). Figure S.10 shows signal concentrations using non-rescaled parameters.</w:t>
      </w:r>
    </w:p>
    <w:p w:rsidR="001B3571" w:rsidRDefault="00000000">
      <w:pPr>
        <w:pStyle w:val="BodyText"/>
      </w:pPr>
      <w:r>
        <w:t xml:space="preserve">By focusing on signal concentration as the factor determining behavior, our approach accommodates multiple possible molecular mechanisms. It does mean, however, that we cannot easily distinguish between alternate mechanistic accounts linking signal exposure to changes in </w:t>
      </w:r>
      <w:r>
        <w:lastRenderedPageBreak/>
        <w:t>gene expression.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 Our results highlighting gene expression cooperativity (Figures 5 and 6) raise additional mechanistic questions. In particular, Figure 6 raises challenges for standard additive (Long et al. 2009) or multiplicative (Kaplan et al. 2008) models of gene expression as a function of multiple inputs. Sauer et al. (1995) make related observations for a protein complex in Drosophila melanogaster; both of the developmental regulators BCD and HB alone induce a 6-fold increase by themselves but combine to induce a greater than 65-fold increase. These convergent results across large phylogenetic distances offer a tantalizing possibility that further investigations into the mechanisms of P. aeruginosa quorum sensing interactions can provide insights into more general gene regulatory network models.</w:t>
      </w:r>
    </w:p>
    <w:p w:rsidR="001B3571" w:rsidRDefault="00000000">
      <w:pPr>
        <w:pStyle w:val="BodyText"/>
      </w:pPr>
      <w:r>
        <w:t xml:space="preserve">Finally, we highlight that our model is not constrained to dual-signal QS, or to mutually enhancing interactions among signal systems. The </w:t>
      </w:r>
      <w:r>
        <w:rPr>
          <w:i/>
          <w:iCs/>
        </w:rPr>
        <w:t>pqs</w:t>
      </w:r>
      <w:r>
        <w:t xml:space="preserve"> system of </w:t>
      </w:r>
      <w:r>
        <w:rPr>
          <w:i/>
          <w:iCs/>
        </w:rPr>
        <w:t>P. aeruginosa,</w:t>
      </w:r>
      <w:r>
        <w:t xml:space="preserve"> for example, is both induced by the </w:t>
      </w:r>
      <w:r>
        <w:rPr>
          <w:i/>
          <w:iCs/>
        </w:rPr>
        <w:t>las</w:t>
      </w:r>
      <w:r>
        <w:t xml:space="preserve"> system and repressed by the </w:t>
      </w:r>
      <w:r>
        <w:rPr>
          <w:i/>
          <w:iCs/>
        </w:rPr>
        <w:t>rhl</w:t>
      </w:r>
      <w:r>
        <w:t xml:space="preserve"> sytem and it, in turn, can induce the </w:t>
      </w:r>
      <w:r>
        <w:rPr>
          <w:i/>
          <w:iCs/>
        </w:rPr>
        <w:t>rhl</w:t>
      </w:r>
      <w:r>
        <w:t xml:space="preserve"> system (McGrath, Wade, and Pesci 2004; Lee and Zhang 2015); however, that knowledge alone is not sufficient to predict population behavior. The relative strengths of those interaction can make a qualitative difference in that behavior, as Figure 13 demonstrates. In sum, our methodology provides a general and flexible methodology to quantify the multi-signal “wiring diagrams” of quorum-sensing bacteria and functionally link these wiring diagrams to QS-controlled responses to environmental variation.</w:t>
      </w:r>
    </w:p>
    <w:p w:rsidR="001B3571" w:rsidRDefault="00000000">
      <w:pPr>
        <w:pStyle w:val="CaptionedFigure"/>
      </w:pPr>
      <w:bookmarkStart w:id="21" w:name="fig:three_signals"/>
      <w:r>
        <w:rPr>
          <w:noProof/>
        </w:rPr>
        <w:drawing>
          <wp:inline distT="0" distB="0" distL="0" distR="0">
            <wp:extent cx="4733925" cy="1295400"/>
            <wp:effectExtent l="0" t="0" r="0" b="0"/>
            <wp:docPr id="91" name="Picture" descr="Figure 13: three_signals"/>
            <wp:cNvGraphicFramePr/>
            <a:graphic xmlns:a="http://schemas.openxmlformats.org/drawingml/2006/main">
              <a:graphicData uri="http://schemas.openxmlformats.org/drawingml/2006/picture">
                <pic:pic xmlns:pic="http://schemas.openxmlformats.org/drawingml/2006/picture">
                  <pic:nvPicPr>
                    <pic:cNvPr id="92" name="Picture" descr="Figures/three_signals.svg"/>
                    <pic:cNvPicPr>
                      <a:picLocks noChangeAspect="1" noChangeArrowheads="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4733925" cy="1295400"/>
                    </a:xfrm>
                    <a:prstGeom prst="rect">
                      <a:avLst/>
                    </a:prstGeom>
                    <a:noFill/>
                    <a:ln w="9525">
                      <a:noFill/>
                      <a:headEnd/>
                      <a:tailEnd/>
                    </a:ln>
                  </pic:spPr>
                </pic:pic>
              </a:graphicData>
            </a:graphic>
          </wp:inline>
        </w:drawing>
      </w:r>
    </w:p>
    <w:bookmarkEnd w:id="21"/>
    <w:p w:rsidR="001B3571" w:rsidRDefault="00000000">
      <w:pPr>
        <w:pStyle w:val="Caption"/>
      </w:pPr>
      <w:r>
        <w:rPr>
          <w:b/>
          <w:bCs/>
        </w:rPr>
        <w:t>Figure 13. Interaction strength for both induction and repression determines population behavior.</w:t>
      </w:r>
      <w:r>
        <w:t xml:space="preserve"> The figure considers three hypothetical architectures for a quorum sensing network with three QS systems. Panel A establishes a baseline in which the third system is independent of the first two. In Panels B and C, the third system is induced by the first, repressed by the second, and, in turn, induces the second. The differences between those panels are strictly qualitative.</w:t>
      </w:r>
    </w:p>
    <w:p w:rsidR="001B3571" w:rsidRDefault="00000000">
      <w:pPr>
        <w:pStyle w:val="Heading2"/>
      </w:pPr>
      <w:bookmarkStart w:id="22" w:name="methods"/>
      <w:bookmarkEnd w:id="19"/>
      <w:r>
        <w:t>Methods</w:t>
      </w:r>
    </w:p>
    <w:p w:rsidR="001B3571" w:rsidRDefault="00000000">
      <w:pPr>
        <w:pStyle w:val="Heading3"/>
      </w:pPr>
      <w:bookmarkStart w:id="23" w:name="data-collection"/>
      <w:r>
        <w:t>Data Collection</w:t>
      </w:r>
    </w:p>
    <w:p w:rsidR="001B3571"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1B3571" w:rsidRDefault="00000000">
      <w:pPr>
        <w:pStyle w:val="BodyText"/>
      </w:pPr>
      <w:r>
        <w:lastRenderedPageBreak/>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1B3571" w:rsidRDefault="00000000">
      <w:pPr>
        <w:pStyle w:val="Heading3"/>
      </w:pPr>
      <w:bookmarkStart w:id="24" w:name="data-analysis"/>
      <w:bookmarkEnd w:id="23"/>
      <w:r>
        <w:t>Data Analysis</w:t>
      </w:r>
    </w:p>
    <w:p w:rsidR="001B3571" w:rsidRDefault="00000000">
      <w:pPr>
        <w:pStyle w:val="FirstParagraph"/>
      </w:pPr>
      <w:r>
        <w:t xml:space="preserve">We estimated parameter values in Tables S.3, S.4, S.5, and S.6 with non-linear regression by least squares using the Gauss-Newton algorithm (Ratkowsky 1983). Observations were limited to time ranges with peak expression values. (See supporting Information for detailed time course analysis.) Comparisons of model predictions and observed values are available in supporting Information. Equilibrium values shown in Figure 10 were computed using a Trust-Region-Dogleg Algorithm (Powell 1968).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rsidR="001B3571" w:rsidRDefault="00000000">
      <w:pPr>
        <w:pStyle w:val="BodyText"/>
      </w:pPr>
      <w:r>
        <w:t>Additional third-party modules:</w:t>
      </w:r>
    </w:p>
    <w:p w:rsidR="001B3571"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1B3571"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1B3571"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1B3571" w:rsidRDefault="00000000">
      <w:pPr>
        <w:pStyle w:val="BodyText"/>
      </w:pPr>
      <w:r>
        <w:t>Custom color schemes adapted from seaboarn.</w:t>
      </w:r>
    </w:p>
    <w:p w:rsidR="001B3571"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1B3571" w:rsidRDefault="00000000">
      <w:pPr>
        <w:pStyle w:val="Heading2"/>
      </w:pPr>
      <w:bookmarkStart w:id="25" w:name="references"/>
      <w:bookmarkEnd w:id="22"/>
      <w:bookmarkEnd w:id="24"/>
      <w:r>
        <w:t>References</w:t>
      </w:r>
    </w:p>
    <w:p w:rsidR="001B3571" w:rsidRDefault="00000000">
      <w:pPr>
        <w:pStyle w:val="Bibliography"/>
      </w:pPr>
      <w:bookmarkStart w:id="26" w:name="ref-Allen2016"/>
      <w:bookmarkStart w:id="27" w:name="refs"/>
      <w:r>
        <w:t xml:space="preserve">Allen, RC, L McNally, R Popat, and SP Brown. 2016. “Quorum Sensing Protects Bacterial Co-Operation from Exploitation by Cheats.” </w:t>
      </w:r>
      <w:r>
        <w:rPr>
          <w:i/>
          <w:iCs/>
        </w:rPr>
        <w:t>ISME J</w:t>
      </w:r>
      <w:r>
        <w:t xml:space="preserve"> 10 (7): 1706–16.</w:t>
      </w:r>
    </w:p>
    <w:p w:rsidR="001B3571" w:rsidRDefault="00000000">
      <w:pPr>
        <w:pStyle w:val="Bibliography"/>
      </w:pPr>
      <w:bookmarkStart w:id="28" w:name="ref-Boedicker2009"/>
      <w:bookmarkEnd w:id="26"/>
      <w:r>
        <w:t xml:space="preserve">Boedicker, JQ, ME Vincent, and RF Ismagilov. 2009. “Microfluidic Confinement of Single Cells of Bacteria in Small Volumes Initiates High-Density Behavior of Quorum Sensing and Growth and Reveals Its Variability.” </w:t>
      </w:r>
      <w:r>
        <w:rPr>
          <w:i/>
          <w:iCs/>
        </w:rPr>
        <w:t>Angew Chem Int Ed Engl</w:t>
      </w:r>
      <w:r>
        <w:t xml:space="preserve"> 48 (32): 5908–11.</w:t>
      </w:r>
    </w:p>
    <w:p w:rsidR="001B3571" w:rsidRDefault="00000000">
      <w:pPr>
        <w:pStyle w:val="Bibliography"/>
      </w:pPr>
      <w:bookmarkStart w:id="29" w:name="ref-Bolouri2008"/>
      <w:bookmarkEnd w:id="28"/>
      <w:r>
        <w:t xml:space="preserve">Bolouri, Hamid. 2008. </w:t>
      </w:r>
      <w:r>
        <w:rPr>
          <w:i/>
          <w:iCs/>
        </w:rPr>
        <w:t>Computational Modeling of Gene Regulatory Networks: A Primer</w:t>
      </w:r>
      <w:r>
        <w:t>. Imperial College Press.</w:t>
      </w:r>
    </w:p>
    <w:p w:rsidR="001B3571" w:rsidRDefault="00000000">
      <w:pPr>
        <w:pStyle w:val="Bibliography"/>
      </w:pPr>
      <w:bookmarkStart w:id="30" w:name="ref-Bottomley2007"/>
      <w:bookmarkEnd w:id="29"/>
      <w:r>
        <w:lastRenderedPageBreak/>
        <w:t xml:space="preserve">Bottomley, MJ, E Muraglia, R Bazzo, and A Carfì. 2007.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282 (18): 13592–600.</w:t>
      </w:r>
    </w:p>
    <w:p w:rsidR="001B3571" w:rsidRDefault="00000000">
      <w:pPr>
        <w:pStyle w:val="Bibliography"/>
      </w:pPr>
      <w:bookmarkStart w:id="31" w:name="ref-Bridges2019"/>
      <w:bookmarkEnd w:id="30"/>
      <w:r>
        <w:t xml:space="preserve">Bridges, AA, and BL Bassler. 2019. “The Intragenus and Interspecies Quorum-Sensing Autoinducers Exert Distinct Control over Vibrio Cholerae Biofilm Formation and Dispersal.” </w:t>
      </w:r>
      <w:r>
        <w:rPr>
          <w:i/>
          <w:iCs/>
        </w:rPr>
        <w:t>PLoS Biol</w:t>
      </w:r>
      <w:r>
        <w:t xml:space="preserve"> 17 (11): e3000429.</w:t>
      </w:r>
    </w:p>
    <w:p w:rsidR="001B3571" w:rsidRDefault="00000000">
      <w:pPr>
        <w:pStyle w:val="Bibliography"/>
      </w:pPr>
      <w:bookmarkStart w:id="32" w:name="ref-Brown2013"/>
      <w:bookmarkEnd w:id="31"/>
      <w:r>
        <w:t xml:space="preserve">Brown, D. 2013. “Linking Molecular and Population Processes in Mathematical Models of Quorum Sensing.” </w:t>
      </w:r>
      <w:r>
        <w:rPr>
          <w:i/>
          <w:iCs/>
        </w:rPr>
        <w:t>Bull Math Biol</w:t>
      </w:r>
      <w:r>
        <w:t xml:space="preserve"> 75 (10): 1813–39.</w:t>
      </w:r>
    </w:p>
    <w:p w:rsidR="001B3571" w:rsidRDefault="00000000">
      <w:pPr>
        <w:pStyle w:val="Bibliography"/>
      </w:pPr>
      <w:bookmarkStart w:id="33" w:name="ref-Buchler2003"/>
      <w:bookmarkEnd w:id="32"/>
      <w:r>
        <w:t xml:space="preserve">Buchler, NE, U Gerland, and T Hwa. 2003. “On Schemes of Combinatorial Transcription Logic.” </w:t>
      </w:r>
      <w:r>
        <w:rPr>
          <w:i/>
          <w:iCs/>
        </w:rPr>
        <w:t>Proc Natl Acad Sci U S A</w:t>
      </w:r>
      <w:r>
        <w:t xml:space="preserve"> 100 (9): 5136–41.</w:t>
      </w:r>
    </w:p>
    <w:p w:rsidR="001B3571" w:rsidRDefault="00000000">
      <w:pPr>
        <w:pStyle w:val="Bibliography"/>
      </w:pPr>
      <w:bookmarkStart w:id="34" w:name="ref-Casilag2016"/>
      <w:bookmarkEnd w:id="33"/>
      <w:r>
        <w:t xml:space="preserve">Casilag, F, A Lorenz, J Krueger, F Klawonn, S Weiss, and S Häussler. 2016. “The LasB Elastase of </w:t>
      </w:r>
      <w:r>
        <w:rPr>
          <w:i/>
          <w:iCs/>
        </w:rPr>
        <w:t>Pseudomonas Aeruginosa</w:t>
      </w:r>
      <w:r>
        <w:t xml:space="preserve"> Acts in Concert with Alkaline Protease AprA to Prevent Flagellin-Mediated Immune Recognition.” </w:t>
      </w:r>
      <w:r>
        <w:rPr>
          <w:i/>
          <w:iCs/>
        </w:rPr>
        <w:t>Infect Immun</w:t>
      </w:r>
      <w:r>
        <w:t xml:space="preserve"> 84 (1): 162–71.</w:t>
      </w:r>
    </w:p>
    <w:p w:rsidR="001B3571" w:rsidRDefault="00000000">
      <w:pPr>
        <w:pStyle w:val="Bibliography"/>
      </w:pPr>
      <w:bookmarkStart w:id="35" w:name="ref-Chugani2001"/>
      <w:bookmarkEnd w:id="34"/>
      <w:r>
        <w:t xml:space="preserve">Chugani, SA, M Whiteley, KM Lee, D D’Argenio, C Manoil, and EP Greenberg. 2001. “QscR, a Modulator of Quorum-Sensing Signal Synthesis and Virulence in </w:t>
      </w:r>
      <w:r>
        <w:rPr>
          <w:i/>
          <w:iCs/>
        </w:rPr>
        <w:t>Pseudomonas Aeruginosa</w:t>
      </w:r>
      <w:r>
        <w:t xml:space="preserve">.” </w:t>
      </w:r>
      <w:r>
        <w:rPr>
          <w:i/>
          <w:iCs/>
        </w:rPr>
        <w:t>Proc Natl Acad Sci U S A</w:t>
      </w:r>
      <w:r>
        <w:t xml:space="preserve"> 98 (5): 2752–57.</w:t>
      </w:r>
    </w:p>
    <w:p w:rsidR="001B3571" w:rsidRDefault="00000000">
      <w:pPr>
        <w:pStyle w:val="Bibliography"/>
      </w:pPr>
      <w:bookmarkStart w:id="36" w:name="ref-Cigana2021"/>
      <w:bookmarkEnd w:id="35"/>
      <w:r>
        <w:t>Cigana, Cristina, Jérôme Castandet, Nicolas Sprynski, Medede Melessike, Lilha Beyria, Serena Ranucci, Beatriz Alcalá-Franco, Alice Rossi, Alessandra Bragonzi, and Magdalena Zalacain. 2021.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11: 620819.</w:t>
      </w:r>
    </w:p>
    <w:p w:rsidR="001B3571" w:rsidRDefault="00000000">
      <w:pPr>
        <w:pStyle w:val="Bibliography"/>
      </w:pPr>
      <w:bookmarkStart w:id="37" w:name="ref-Cornforth2014"/>
      <w:bookmarkEnd w:id="36"/>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1B3571" w:rsidRDefault="00000000">
      <w:pPr>
        <w:pStyle w:val="Bibliography"/>
      </w:pPr>
      <w:bookmarkStart w:id="38" w:name="ref-Dekimpe2009"/>
      <w:bookmarkEnd w:id="37"/>
      <w:r>
        <w:t xml:space="preserve">Dekimpe, V, and E Déziel. 2009. “Revisiting the Quorum-Sensing Hierarchy in Pseudomonas Aeruginosa: The Transcriptional Regulator RhlR Regulates LasR-Specific Factors.” </w:t>
      </w:r>
      <w:r>
        <w:rPr>
          <w:i/>
          <w:iCs/>
        </w:rPr>
        <w:t>Microbiology (Reading)</w:t>
      </w:r>
      <w:r>
        <w:t xml:space="preserve"> 155 (Pt 3): 712–23.</w:t>
      </w:r>
    </w:p>
    <w:p w:rsidR="001B3571" w:rsidRDefault="00000000">
      <w:pPr>
        <w:pStyle w:val="Bibliography"/>
      </w:pPr>
      <w:bookmarkStart w:id="39" w:name="ref-Diggle2007"/>
      <w:bookmarkEnd w:id="38"/>
      <w:r>
        <w:t xml:space="preserve">Diggle, SP, AS Griffin, GS Campbell, and SA West. 2007. “Cooperation and Conflict in Quorum-Sensing Bacterial Populations.” </w:t>
      </w:r>
      <w:r>
        <w:rPr>
          <w:i/>
          <w:iCs/>
        </w:rPr>
        <w:t>Nature</w:t>
      </w:r>
      <w:r>
        <w:t xml:space="preserve"> 450 (7168): 411–14.</w:t>
      </w:r>
    </w:p>
    <w:p w:rsidR="001B3571" w:rsidRDefault="00000000">
      <w:pPr>
        <w:pStyle w:val="Bibliography"/>
      </w:pPr>
      <w:bookmarkStart w:id="40" w:name="ref-Dockery2001"/>
      <w:bookmarkEnd w:id="39"/>
      <w:r>
        <w:t xml:space="preserve">Dockery, JD, and JP Keener. 2001. “A Mathematical Model for Quorum Sensing in </w:t>
      </w:r>
      <w:r>
        <w:rPr>
          <w:i/>
          <w:iCs/>
        </w:rPr>
        <w:t>Pseudomonas Aeruginosa</w:t>
      </w:r>
      <w:r>
        <w:t xml:space="preserve">.” </w:t>
      </w:r>
      <w:r>
        <w:rPr>
          <w:i/>
          <w:iCs/>
        </w:rPr>
        <w:t>Bull Math Biol</w:t>
      </w:r>
      <w:r>
        <w:t xml:space="preserve"> 63 (1): 95–116.</w:t>
      </w:r>
    </w:p>
    <w:p w:rsidR="001B3571" w:rsidRDefault="00000000">
      <w:pPr>
        <w:pStyle w:val="Bibliography"/>
      </w:pPr>
      <w:bookmarkStart w:id="41" w:name="ref-Fuqua1994"/>
      <w:bookmarkEnd w:id="40"/>
      <w:r>
        <w:t xml:space="preserve">Fuqua, WC, SC Winans, and EP Greenberg. 1994. “Quorum Sensing in Bacteria: The LuxR-LuxI Family of Cell Density-Responsive Transcriptional Regulators.” </w:t>
      </w:r>
      <w:r>
        <w:rPr>
          <w:i/>
          <w:iCs/>
        </w:rPr>
        <w:t>J Bacteriol</w:t>
      </w:r>
      <w:r>
        <w:t xml:space="preserve"> 176 (2): 269–75.</w:t>
      </w:r>
    </w:p>
    <w:p w:rsidR="001B3571" w:rsidRDefault="00000000">
      <w:pPr>
        <w:pStyle w:val="Bibliography"/>
      </w:pPr>
      <w:bookmarkStart w:id="42" w:name="ref-Henke2004"/>
      <w:bookmarkEnd w:id="41"/>
      <w:r>
        <w:t xml:space="preserve">Henke, JM, and BL Bassler. 2004. “Three Parallel Quorum-Sensing Systems Regulate Gene Expression in Vibrio Harveyi.” </w:t>
      </w:r>
      <w:r>
        <w:rPr>
          <w:i/>
          <w:iCs/>
        </w:rPr>
        <w:t>J Bacteriol</w:t>
      </w:r>
      <w:r>
        <w:t xml:space="preserve"> 186 (20): 6902–14.</w:t>
      </w:r>
    </w:p>
    <w:p w:rsidR="001B3571" w:rsidRDefault="00000000">
      <w:pPr>
        <w:pStyle w:val="Bibliography"/>
      </w:pPr>
      <w:bookmarkStart w:id="43" w:name="ref-Hense2007"/>
      <w:bookmarkEnd w:id="42"/>
      <w:r>
        <w:lastRenderedPageBreak/>
        <w:t xml:space="preserve">Hense, BA, C Kuttler, J Müller, M Rothballer, A Hartmann, and JU Kreft. 2007. “Does Efficiency Sensing Unify Diffusion and Quorum Sensing.” </w:t>
      </w:r>
      <w:r>
        <w:rPr>
          <w:i/>
          <w:iCs/>
        </w:rPr>
        <w:t>Nat Rev Microbiol</w:t>
      </w:r>
      <w:r>
        <w:t xml:space="preserve"> 5 (3): 230–39.</w:t>
      </w:r>
    </w:p>
    <w:p w:rsidR="001B3571" w:rsidRDefault="00000000">
      <w:pPr>
        <w:pStyle w:val="Bibliography"/>
      </w:pPr>
      <w:bookmarkStart w:id="44" w:name="ref-James2000"/>
      <w:bookmarkEnd w:id="43"/>
      <w:r>
        <w:t xml:space="preserve">James, S, P Nilsson, G James, S Kjelleberg, and T Fagerström. 2000. “Luminescence Control in the Marine Bacterium </w:t>
      </w:r>
      <w:r>
        <w:rPr>
          <w:i/>
          <w:iCs/>
        </w:rPr>
        <w:t>Vibrio Fischeri:</w:t>
      </w:r>
      <w:r>
        <w:t xml:space="preserve"> An Analysis of the Dynamics of Lux Regulation.” </w:t>
      </w:r>
      <w:r>
        <w:rPr>
          <w:i/>
          <w:iCs/>
        </w:rPr>
        <w:t>J Mol Biol</w:t>
      </w:r>
      <w:r>
        <w:t xml:space="preserve"> 296 (4): 1127–37.</w:t>
      </w:r>
    </w:p>
    <w:p w:rsidR="001B3571" w:rsidRDefault="00000000">
      <w:pPr>
        <w:pStyle w:val="Bibliography"/>
      </w:pPr>
      <w:bookmarkStart w:id="45" w:name="ref-Kaplan2008"/>
      <w:bookmarkEnd w:id="44"/>
      <w:r>
        <w:t xml:space="preserve">Kaplan, S, A Bren, A Zaslaver, E Dekel, and U Alon. 2008. “Diverse Two-Dimensional Input Functions Control Bacterial Sugar Genes.” </w:t>
      </w:r>
      <w:r>
        <w:rPr>
          <w:i/>
          <w:iCs/>
        </w:rPr>
        <w:t>Mol Cell</w:t>
      </w:r>
      <w:r>
        <w:t xml:space="preserve"> 29 (6): 786–92.</w:t>
      </w:r>
    </w:p>
    <w:p w:rsidR="001B3571" w:rsidRDefault="00000000">
      <w:pPr>
        <w:pStyle w:val="Bibliography"/>
      </w:pPr>
      <w:bookmarkStart w:id="46" w:name="ref-Kiratisin2002"/>
      <w:bookmarkEnd w:id="45"/>
      <w:r>
        <w:t xml:space="preserve">Kiratisin, P, KD Tucker, and L Passador. 2002. “LasR, a Transcriptional Activator of </w:t>
      </w:r>
      <w:r>
        <w:rPr>
          <w:i/>
          <w:iCs/>
        </w:rPr>
        <w:t>Pseudomonas Aeruginosa</w:t>
      </w:r>
      <w:r>
        <w:t xml:space="preserve"> Virulence Genes, Functions as a Multimer.” </w:t>
      </w:r>
      <w:r>
        <w:rPr>
          <w:i/>
          <w:iCs/>
        </w:rPr>
        <w:t>J Bacteriol</w:t>
      </w:r>
      <w:r>
        <w:t xml:space="preserve"> 184 (17): 4912–19.</w:t>
      </w:r>
    </w:p>
    <w:p w:rsidR="001B3571" w:rsidRDefault="00000000">
      <w:pPr>
        <w:pStyle w:val="Bibliography"/>
      </w:pPr>
      <w:bookmarkStart w:id="47" w:name="ref-Latifi1996"/>
      <w:bookmarkEnd w:id="46"/>
      <w:r>
        <w:t xml:space="preserve">Latifi, A, M Foglino, K Tanaka, P Williams, and A Lazdunski. 1996.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21 (6): 1137–46.</w:t>
      </w:r>
    </w:p>
    <w:p w:rsidR="001B3571" w:rsidRDefault="00000000">
      <w:pPr>
        <w:pStyle w:val="Bibliography"/>
      </w:pPr>
      <w:bookmarkStart w:id="48" w:name="ref-Lee2015"/>
      <w:bookmarkEnd w:id="47"/>
      <w:r>
        <w:t xml:space="preserve">Lee, J, and L Zhang. 2015. “The Hierarchy Quorum Sensing Network in </w:t>
      </w:r>
      <w:r>
        <w:rPr>
          <w:i/>
          <w:iCs/>
        </w:rPr>
        <w:t>Pseudomonas Aeruginosa</w:t>
      </w:r>
      <w:r>
        <w:t xml:space="preserve">.” </w:t>
      </w:r>
      <w:r>
        <w:rPr>
          <w:i/>
          <w:iCs/>
        </w:rPr>
        <w:t>Protein Cell</w:t>
      </w:r>
      <w:r>
        <w:t xml:space="preserve"> 6 (1): 26–41.</w:t>
      </w:r>
    </w:p>
    <w:p w:rsidR="001B3571" w:rsidRDefault="00000000">
      <w:pPr>
        <w:pStyle w:val="Bibliography"/>
      </w:pPr>
      <w:bookmarkStart w:id="49" w:name="ref-Long2009"/>
      <w:bookmarkEnd w:id="48"/>
      <w:r>
        <w:t xml:space="preserve">Long, T, KC Tu, Y Wang, P Mehta, NP Ong, BL Bassler, and NS Wingreen. 2009. “Quantifying the Integration of Quorum-Sensing Signals with Single-Cell Resolution.” </w:t>
      </w:r>
      <w:r>
        <w:rPr>
          <w:i/>
          <w:iCs/>
        </w:rPr>
        <w:t>PLoS Biol</w:t>
      </w:r>
      <w:r>
        <w:t xml:space="preserve"> 7 (3): e68.</w:t>
      </w:r>
    </w:p>
    <w:p w:rsidR="001B3571" w:rsidRDefault="00000000">
      <w:pPr>
        <w:pStyle w:val="Bibliography"/>
      </w:pPr>
      <w:bookmarkStart w:id="50" w:name="ref-Mayer2023"/>
      <w:bookmarkEnd w:id="49"/>
      <w:r>
        <w:t xml:space="preserve">Mayer, C, A Borges, SC Flament-Simon, and M Simões. 2023. “Quorum Sensing Architecture Network in Escherichia Coli Virulence and Pathogenesis.” </w:t>
      </w:r>
      <w:r>
        <w:rPr>
          <w:i/>
          <w:iCs/>
        </w:rPr>
        <w:t>FEMS Microbiol Rev</w:t>
      </w:r>
      <w:r>
        <w:t xml:space="preserve"> 47 (4): fuad031.</w:t>
      </w:r>
    </w:p>
    <w:p w:rsidR="001B3571" w:rsidRDefault="00000000">
      <w:pPr>
        <w:pStyle w:val="Bibliography"/>
      </w:pPr>
      <w:bookmarkStart w:id="51" w:name="ref-McGrath2004"/>
      <w:bookmarkEnd w:id="50"/>
      <w:r>
        <w:t xml:space="preserve">McGrath, S, DS Wade, and EC Pesci. 2004. “Dueling Quorum Sensing Systems in </w:t>
      </w:r>
      <w:r>
        <w:rPr>
          <w:i/>
          <w:iCs/>
        </w:rPr>
        <w:t>Pseudomonas Aeruginosa</w:t>
      </w:r>
      <w:r>
        <w:t xml:space="preserve"> Control the Production of the Pseudomonas Quinolone Signal (PQS).” </w:t>
      </w:r>
      <w:r>
        <w:rPr>
          <w:i/>
          <w:iCs/>
        </w:rPr>
        <w:t>FEMS Microbiol Lett</w:t>
      </w:r>
      <w:r>
        <w:t xml:space="preserve"> 230 (1): 27–34.</w:t>
      </w:r>
    </w:p>
    <w:p w:rsidR="001B3571" w:rsidRDefault="00000000">
      <w:pPr>
        <w:pStyle w:val="Bibliography"/>
      </w:pPr>
      <w:bookmarkStart w:id="52" w:name="ref-Mok2003"/>
      <w:bookmarkEnd w:id="51"/>
      <w:r>
        <w:t xml:space="preserve">Mok, KC, NS Wingreen, and BL Bassler. 2003. “Vibrio Harveyi Quorum Sensing: A Coincidence Detector for Two Autoinducers Controls Gene Expression.” </w:t>
      </w:r>
      <w:r>
        <w:rPr>
          <w:i/>
          <w:iCs/>
        </w:rPr>
        <w:t>EMBO J</w:t>
      </w:r>
      <w:r>
        <w:t xml:space="preserve"> 22 (4): 870–81.</w:t>
      </w:r>
    </w:p>
    <w:p w:rsidR="001B3571" w:rsidRDefault="00000000">
      <w:pPr>
        <w:pStyle w:val="Bibliography"/>
      </w:pPr>
      <w:bookmarkStart w:id="53" w:name="ref-Nouwens2003"/>
      <w:bookmarkEnd w:id="52"/>
      <w:r>
        <w:t xml:space="preserve">Nouwens, AS, SA Beatson, CB Whitchurch, BJ Walsh, HP Schweizer, JS Mattick, and SJ Cordwell. 2003.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149 (Pt 5): 1311–22.</w:t>
      </w:r>
    </w:p>
    <w:p w:rsidR="001B3571" w:rsidRDefault="00000000">
      <w:pPr>
        <w:pStyle w:val="Bibliography"/>
      </w:pPr>
      <w:bookmarkStart w:id="54" w:name="ref-Papenfort2016"/>
      <w:bookmarkEnd w:id="53"/>
      <w:r>
        <w:t xml:space="preserve">Papenfort, K, and BL Bassler. 2016. “Quorum Sensing Signal-Response Systems in Gram-Negative Bacteria.” </w:t>
      </w:r>
      <w:r>
        <w:rPr>
          <w:i/>
          <w:iCs/>
        </w:rPr>
        <w:t>Nat Rev Microbiol</w:t>
      </w:r>
      <w:r>
        <w:t xml:space="preserve"> 14 (9): 576–88.</w:t>
      </w:r>
    </w:p>
    <w:p w:rsidR="001B3571" w:rsidRDefault="00000000">
      <w:pPr>
        <w:pStyle w:val="Bibliography"/>
      </w:pPr>
      <w:bookmarkStart w:id="55" w:name="ref-Pearson1997"/>
      <w:bookmarkEnd w:id="54"/>
      <w:r>
        <w:t xml:space="preserve">Pearson, JP, EC Pesci, and BH Iglewski. 1997.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179 (18): 5756–67.</w:t>
      </w:r>
    </w:p>
    <w:p w:rsidR="001B3571" w:rsidRDefault="00000000">
      <w:pPr>
        <w:pStyle w:val="Bibliography"/>
      </w:pPr>
      <w:bookmarkStart w:id="56" w:name="ref-Pearson1999"/>
      <w:bookmarkEnd w:id="55"/>
      <w:r>
        <w:t xml:space="preserve">Pearson, JP, C Van Delden, and BH Iglewski. 1999. “Active Efflux and Diffusion Are Involved in Transport of </w:t>
      </w:r>
      <w:r>
        <w:rPr>
          <w:i/>
          <w:iCs/>
        </w:rPr>
        <w:t>Pseudomonas Aeruginosa</w:t>
      </w:r>
      <w:r>
        <w:t xml:space="preserve"> Cell-to-Cell Signals.” </w:t>
      </w:r>
      <w:r>
        <w:rPr>
          <w:i/>
          <w:iCs/>
        </w:rPr>
        <w:t>J Bacteriol</w:t>
      </w:r>
      <w:r>
        <w:t xml:space="preserve"> 181 (4): 1203–10.</w:t>
      </w:r>
    </w:p>
    <w:p w:rsidR="001B3571" w:rsidRDefault="00000000">
      <w:pPr>
        <w:pStyle w:val="Bibliography"/>
      </w:pPr>
      <w:bookmarkStart w:id="57" w:name="ref-Perez2018"/>
      <w:bookmarkEnd w:id="56"/>
      <w:r>
        <w:lastRenderedPageBreak/>
        <w:t xml:space="preserve">Pérez-Velázquez, J, and BA Hense. 2018. “Differential Equations Models to Study Quorum Sensing.” </w:t>
      </w:r>
      <w:r>
        <w:rPr>
          <w:i/>
          <w:iCs/>
        </w:rPr>
        <w:t>Methods Mol Biol</w:t>
      </w:r>
      <w:r>
        <w:t xml:space="preserve"> 1673: 253–71.</w:t>
      </w:r>
    </w:p>
    <w:p w:rsidR="001B3571" w:rsidRDefault="00000000">
      <w:pPr>
        <w:pStyle w:val="Bibliography"/>
      </w:pPr>
      <w:bookmarkStart w:id="58" w:name="ref-Pesci1997"/>
      <w:bookmarkEnd w:id="57"/>
      <w:r>
        <w:t xml:space="preserve">Pesci, EC, JP Pearson, PC Seed, and BH Iglewski. 1997.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179 (10): 3127–32.</w:t>
      </w:r>
    </w:p>
    <w:p w:rsidR="001B3571" w:rsidRDefault="00000000">
      <w:pPr>
        <w:pStyle w:val="Bibliography"/>
      </w:pPr>
      <w:bookmarkStart w:id="59" w:name="ref-Popat2015"/>
      <w:bookmarkEnd w:id="58"/>
      <w:r>
        <w:t xml:space="preserve">Popat, R, DM Cornforth, L McNally, and SP Brown. 2015. “Collective Sensing and Collective Responses in Quorum-Sensing Bacteria.” </w:t>
      </w:r>
      <w:r>
        <w:rPr>
          <w:i/>
          <w:iCs/>
        </w:rPr>
        <w:t>J R Soc Interface</w:t>
      </w:r>
      <w:r>
        <w:t xml:space="preserve"> 12 (103): 20140882.</w:t>
      </w:r>
    </w:p>
    <w:p w:rsidR="001B3571" w:rsidRDefault="00000000">
      <w:pPr>
        <w:pStyle w:val="Bibliography"/>
      </w:pPr>
      <w:bookmarkStart w:id="60" w:name="ref-Powell1968"/>
      <w:bookmarkEnd w:id="59"/>
      <w:r>
        <w:t>Powell, Michael JD. 1968. “A Fortran Subroutine for Solving Systems of Nonlinear Algebraic Equations.”</w:t>
      </w:r>
    </w:p>
    <w:p w:rsidR="001B3571" w:rsidRDefault="00000000">
      <w:pPr>
        <w:pStyle w:val="Bibliography"/>
      </w:pPr>
      <w:bookmarkStart w:id="61" w:name="ref-Ratkowsky1983"/>
      <w:bookmarkEnd w:id="60"/>
      <w:r>
        <w:t xml:space="preserve">Ratkowsky, David A. 1983. </w:t>
      </w:r>
      <w:r>
        <w:rPr>
          <w:i/>
          <w:iCs/>
        </w:rPr>
        <w:t>Nonlinear Regression Modeling: A Unified Practical Approach</w:t>
      </w:r>
      <w:r>
        <w:t>. Marcel Dekker Incorporated.</w:t>
      </w:r>
    </w:p>
    <w:p w:rsidR="001B3571" w:rsidRDefault="00000000">
      <w:pPr>
        <w:pStyle w:val="Bibliography"/>
      </w:pPr>
      <w:bookmarkStart w:id="62" w:name="ref-Rattray2022"/>
      <w:bookmarkEnd w:id="61"/>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1B3571" w:rsidRDefault="00000000">
      <w:pPr>
        <w:pStyle w:val="Bibliography"/>
      </w:pPr>
      <w:bookmarkStart w:id="63" w:name="ref-Redfield2002"/>
      <w:bookmarkEnd w:id="62"/>
      <w:r>
        <w:t xml:space="preserve">Redfield, RJ. 2002. “Is Quorum Sensing a Side Effect of Diffusion Sensing.” </w:t>
      </w:r>
      <w:r>
        <w:rPr>
          <w:i/>
          <w:iCs/>
        </w:rPr>
        <w:t>Trends Microbiol</w:t>
      </w:r>
      <w:r>
        <w:t xml:space="preserve"> 10 (8): 365–70.</w:t>
      </w:r>
    </w:p>
    <w:p w:rsidR="001B3571" w:rsidRDefault="00000000">
      <w:pPr>
        <w:pStyle w:val="Bibliography"/>
      </w:pPr>
      <w:bookmarkStart w:id="64" w:name="ref-Santillán2008"/>
      <w:bookmarkEnd w:id="63"/>
      <w:r>
        <w:t xml:space="preserve">Santillán, Moises. 2008. “On the Use of the Hill Functions in Mathematical Models of Gene Regulatory Networks.” </w:t>
      </w:r>
      <w:r>
        <w:rPr>
          <w:i/>
          <w:iCs/>
        </w:rPr>
        <w:t>Mathematical Modelling of Natural Phenomena</w:t>
      </w:r>
      <w:r>
        <w:t xml:space="preserve"> 3 (2): 85–97.</w:t>
      </w:r>
    </w:p>
    <w:p w:rsidR="001B3571" w:rsidRDefault="00000000">
      <w:pPr>
        <w:pStyle w:val="Bibliography"/>
      </w:pPr>
      <w:bookmarkStart w:id="65" w:name="ref-Sauer1995"/>
      <w:bookmarkEnd w:id="64"/>
      <w:r>
        <w:t xml:space="preserve">Sauer, F, SK Hansen, and R Tjian. 1995. “Multiple TAFIIs Directing Synergistic Activation of Transcription.” </w:t>
      </w:r>
      <w:r>
        <w:rPr>
          <w:i/>
          <w:iCs/>
        </w:rPr>
        <w:t>Science</w:t>
      </w:r>
      <w:r>
        <w:t xml:space="preserve"> 270 (5243): 1783–88.</w:t>
      </w:r>
    </w:p>
    <w:p w:rsidR="001B3571" w:rsidRDefault="00000000">
      <w:pPr>
        <w:pStyle w:val="Bibliography"/>
      </w:pPr>
      <w:bookmarkStart w:id="66" w:name="ref-Schuster2007"/>
      <w:bookmarkEnd w:id="65"/>
      <w:r>
        <w:t xml:space="preserve">Schuster, M, and EP Greenberg. 2007. “Early Activation of Quorum Sensing in </w:t>
      </w:r>
      <w:r>
        <w:rPr>
          <w:i/>
          <w:iCs/>
        </w:rPr>
        <w:t>Pseudomonas Aeruginosa</w:t>
      </w:r>
      <w:r>
        <w:t xml:space="preserve"> Reveals the Architecture of a Complex Regulon.” </w:t>
      </w:r>
      <w:r>
        <w:rPr>
          <w:i/>
          <w:iCs/>
        </w:rPr>
        <w:t>BMC Genomics</w:t>
      </w:r>
      <w:r>
        <w:t xml:space="preserve"> 8: 287.</w:t>
      </w:r>
    </w:p>
    <w:p w:rsidR="001B3571" w:rsidRDefault="00000000">
      <w:pPr>
        <w:pStyle w:val="Bibliography"/>
      </w:pPr>
      <w:bookmarkStart w:id="67" w:name="ref-Sexton2017"/>
      <w:bookmarkEnd w:id="66"/>
      <w:r>
        <w:t xml:space="preserve">Sexton, DJ, and M Schuster. 2017. “Nutrient Limitation Determines the Fitness of Cheaters in Bacterial Siderophore Cooperation.” </w:t>
      </w:r>
      <w:r>
        <w:rPr>
          <w:i/>
          <w:iCs/>
        </w:rPr>
        <w:t>Nat Commun</w:t>
      </w:r>
      <w:r>
        <w:t xml:space="preserve"> 8 (1): 230.</w:t>
      </w:r>
    </w:p>
    <w:p w:rsidR="001B3571" w:rsidRDefault="00000000">
      <w:pPr>
        <w:pStyle w:val="Bibliography"/>
      </w:pPr>
      <w:bookmarkStart w:id="68" w:name="ref-Stearns1989"/>
      <w:bookmarkEnd w:id="67"/>
      <w:r>
        <w:t xml:space="preserve">Stearns, SC. 1989. “The Evolutionary Significance of Phenotypic Plasticity.” </w:t>
      </w:r>
      <w:r>
        <w:rPr>
          <w:i/>
          <w:iCs/>
        </w:rPr>
        <w:t>Bioscience</w:t>
      </w:r>
      <w:r>
        <w:t>.</w:t>
      </w:r>
    </w:p>
    <w:p w:rsidR="001B3571" w:rsidRDefault="00000000">
      <w:pPr>
        <w:pStyle w:val="Bibliography"/>
      </w:pPr>
      <w:bookmarkStart w:id="69" w:name="ref-Voichek2020"/>
      <w:bookmarkEnd w:id="68"/>
      <w:r>
        <w:t xml:space="preserve">Voichek, M, S Maaß, T Kroniger, D Becher, and R Sorek. 2020. “Peptide-Based Quorum Sensing Systems in Paenibacillus Polymyxa.” </w:t>
      </w:r>
      <w:r>
        <w:rPr>
          <w:i/>
          <w:iCs/>
        </w:rPr>
        <w:t>Life Sci Alliance</w:t>
      </w:r>
      <w:r>
        <w:t xml:space="preserve"> 3 (10): e202000847.</w:t>
      </w:r>
    </w:p>
    <w:p w:rsidR="001B3571" w:rsidRDefault="00000000">
      <w:pPr>
        <w:pStyle w:val="Bibliography"/>
      </w:pPr>
      <w:bookmarkStart w:id="70" w:name="ref-Ward2001"/>
      <w:bookmarkEnd w:id="69"/>
      <w:r>
        <w:t xml:space="preserve">Ward, JP, JR King, AJ Koerber, P Williams, JM Croft, and RE Sockett. 2001. “Mathematical Modelling of Quorum Sensing in Bacteria.” </w:t>
      </w:r>
      <w:r>
        <w:rPr>
          <w:i/>
          <w:iCs/>
        </w:rPr>
        <w:t>IMA J Math Appl Med Biol</w:t>
      </w:r>
      <w:r>
        <w:t xml:space="preserve"> 18 (3): 263–92.</w:t>
      </w:r>
    </w:p>
    <w:p w:rsidR="001B3571" w:rsidRDefault="00000000">
      <w:pPr>
        <w:pStyle w:val="Bibliography"/>
      </w:pPr>
      <w:bookmarkStart w:id="71" w:name="ref-Whiteley2017"/>
      <w:bookmarkEnd w:id="70"/>
      <w:r>
        <w:t xml:space="preserve">Whiteley, M, SP Diggle, and EP Greenberg. 2017. “Progress in and Promise of Bacterial Quorum Sensing Research.” </w:t>
      </w:r>
      <w:r>
        <w:rPr>
          <w:i/>
          <w:iCs/>
        </w:rPr>
        <w:t>Nature</w:t>
      </w:r>
      <w:r>
        <w:t xml:space="preserve"> 551 (7680): 313–20.</w:t>
      </w:r>
    </w:p>
    <w:p w:rsidR="001B3571" w:rsidRDefault="00000000">
      <w:pPr>
        <w:pStyle w:val="Bibliography"/>
      </w:pPr>
      <w:bookmarkStart w:id="72" w:name="ref-Whiteley1999"/>
      <w:bookmarkEnd w:id="71"/>
      <w:r>
        <w:t xml:space="preserve">Whiteley, M, KM Lee, and EP Greenberg. 1999. “Identification of Genes Controlled by Quorum Sensing in Pseudomonas Aeruginosa.” </w:t>
      </w:r>
      <w:r>
        <w:rPr>
          <w:i/>
          <w:iCs/>
        </w:rPr>
        <w:t>Proc Natl Acad Sci U S A</w:t>
      </w:r>
      <w:r>
        <w:t xml:space="preserve"> 96 (24): 13904–9.</w:t>
      </w:r>
      <w:bookmarkEnd w:id="0"/>
      <w:bookmarkEnd w:id="25"/>
      <w:bookmarkEnd w:id="27"/>
      <w:bookmarkEnd w:id="72"/>
    </w:p>
    <w:sectPr w:rsidR="001B357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C834ED2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4ADAF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1927838001">
    <w:abstractNumId w:val="0"/>
  </w:num>
  <w:num w:numId="3" w16cid:durableId="122771788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4B3A"/>
    <w:rsid w:val="001B3571"/>
    <w:rsid w:val="00567AAB"/>
    <w:rsid w:val="007D0AF9"/>
    <w:rsid w:val="007D5816"/>
    <w:rsid w:val="00C746F5"/>
    <w:rsid w:val="00D220FA"/>
    <w:rsid w:val="00D62933"/>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70534"/>
  <w15:docId w15:val="{AFCAB854-6C39-9E4B-97FC-ACBEC39C7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21" Type="http://schemas.openxmlformats.org/officeDocument/2006/relationships/image" Target="media/image17.png"/><Relationship Id="rId34" Type="http://schemas.openxmlformats.org/officeDocument/2006/relationships/image" Target="media/image30.sv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8" Type="http://schemas.openxmlformats.org/officeDocument/2006/relationships/image" Target="media/image4.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7182</Words>
  <Characters>40940</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4</cp:revision>
  <dcterms:created xsi:type="dcterms:W3CDTF">2024-07-28T19:19:00Z</dcterms:created>
  <dcterms:modified xsi:type="dcterms:W3CDTF">2024-07-28T19:24:00Z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